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70" w:rsidRPr="00505514" w:rsidRDefault="000A564C" w:rsidP="000A564C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Муниципальное бюджетное общеобразовательное учреждение основная общеобразовательная школа №5 имени Героя Советского Союза П.А. Михайличенко города Ейска муниципального образования </w:t>
      </w:r>
      <w:proofErr w:type="spellStart"/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Ейский</w:t>
      </w:r>
      <w:proofErr w:type="spellEnd"/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район</w:t>
      </w:r>
    </w:p>
    <w:p w:rsidR="000A564C" w:rsidRPr="00505514" w:rsidRDefault="000A564C" w:rsidP="000A564C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A564C" w:rsidRPr="00505514" w:rsidRDefault="000A564C" w:rsidP="000A564C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A564C" w:rsidRPr="00505514" w:rsidRDefault="000A564C" w:rsidP="000A564C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A564C" w:rsidRPr="00505514" w:rsidRDefault="000A564C" w:rsidP="000A564C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A564C" w:rsidRPr="00505514" w:rsidRDefault="00505514" w:rsidP="000A564C">
      <w:pPr>
        <w:pStyle w:val="a3"/>
        <w:spacing w:before="86" w:beforeAutospacing="0" w:after="0" w:afterAutospacing="0"/>
        <w:jc w:val="center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Статья</w:t>
      </w:r>
    </w:p>
    <w:p w:rsidR="000A564C" w:rsidRPr="000A564C" w:rsidRDefault="000A564C" w:rsidP="000A564C">
      <w:pPr>
        <w:pStyle w:val="a3"/>
        <w:spacing w:before="86" w:beforeAutospacing="0" w:after="0" w:afterAutospacing="0"/>
        <w:jc w:val="center"/>
        <w:rPr>
          <w:color w:val="000000" w:themeColor="text1"/>
        </w:rPr>
      </w:pPr>
      <w:r w:rsidRPr="000A564C">
        <w:rPr>
          <w:rFonts w:eastAsiaTheme="minorEastAsia"/>
          <w:color w:val="000000" w:themeColor="text1"/>
          <w:kern w:val="24"/>
          <w:sz w:val="36"/>
          <w:szCs w:val="36"/>
        </w:rPr>
        <w:t>на тему: «</w:t>
      </w:r>
      <w:r w:rsidRPr="000A564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ФОРМИРОВАНИЕ ИК</w:t>
      </w:r>
      <w:proofErr w:type="gramStart"/>
      <w:r w:rsidRPr="000A564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Т-</w:t>
      </w:r>
      <w:proofErr w:type="gramEnd"/>
      <w:r w:rsidRPr="000A564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КОМПЕТЕНТНОСТИ ПЕДАГОГА ПРИ ПОДГОТОВКЕ И ПРОВЕДЕНИИ УРОКОВ БИОЛОГИИ В УСЛОВИЯХ РЕАЛИЗАЦИИ ФГОС»</w:t>
      </w:r>
    </w:p>
    <w:p w:rsidR="000A564C" w:rsidRPr="000A564C" w:rsidRDefault="000A564C" w:rsidP="000A564C">
      <w:pPr>
        <w:pStyle w:val="a3"/>
        <w:spacing w:before="86" w:beforeAutospacing="0" w:after="0" w:afterAutospacing="0"/>
        <w:jc w:val="center"/>
        <w:rPr>
          <w:color w:val="000000" w:themeColor="text1"/>
        </w:rPr>
      </w:pPr>
      <w:r w:rsidRPr="000A564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 </w:t>
      </w:r>
    </w:p>
    <w:p w:rsidR="000A564C" w:rsidRPr="000A564C" w:rsidRDefault="000A564C" w:rsidP="000A564C">
      <w:pPr>
        <w:pStyle w:val="a3"/>
        <w:spacing w:before="86" w:beforeAutospacing="0" w:after="0" w:afterAutospacing="0"/>
        <w:jc w:val="center"/>
        <w:rPr>
          <w:color w:val="000000" w:themeColor="text1"/>
        </w:rPr>
      </w:pPr>
      <w:r w:rsidRPr="000A564C">
        <w:rPr>
          <w:rFonts w:eastAsiaTheme="minorEastAsia"/>
          <w:color w:val="000000" w:themeColor="text1"/>
          <w:kern w:val="24"/>
          <w:sz w:val="36"/>
          <w:szCs w:val="36"/>
        </w:rPr>
        <w:t>Руденко Татьяны Николаевны</w:t>
      </w: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Default="000A564C" w:rsidP="000A564C">
      <w:pPr>
        <w:pStyle w:val="a3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A564C" w:rsidRPr="000A564C" w:rsidRDefault="000A564C" w:rsidP="000A564C">
      <w:pPr>
        <w:pStyle w:val="a3"/>
        <w:spacing w:before="86" w:beforeAutospacing="0" w:after="0" w:afterAutospacing="0"/>
        <w:jc w:val="center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г</w:t>
      </w:r>
      <w:r w:rsidRPr="000A564C">
        <w:rPr>
          <w:rFonts w:eastAsiaTheme="minorEastAsia"/>
          <w:color w:val="000000" w:themeColor="text1"/>
          <w:kern w:val="24"/>
          <w:sz w:val="36"/>
          <w:szCs w:val="36"/>
        </w:rPr>
        <w:t>. Ейск, 2020</w:t>
      </w:r>
    </w:p>
    <w:p w:rsidR="000A564C" w:rsidRPr="000A564C" w:rsidRDefault="000A564C" w:rsidP="000A56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D1C" w:rsidRPr="009C3D1C" w:rsidRDefault="009C3D1C" w:rsidP="009C3D1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детей и подростков информационное пространство общества неразрывно связано с образовательным пространством, следовательно, эти понятия должны рассматриваться в единстве, что позволяет ввести понятие «информационно-образовательное пространство»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информационно-образовательным пространством понимать пространство вербальной и документальной коммуникаций, формируемое для повышения культурного и образовательного уровня его субъектов.</w:t>
      </w:r>
    </w:p>
    <w:p w:rsidR="009C3D1C" w:rsidRPr="009C3D1C" w:rsidRDefault="009C3D1C" w:rsidP="009C3D1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Современное социальное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информационно-образовательное пространство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характеризуется большим объемом информации, сложной структурой обобществленных знаний, многообразием способов доступа к знаниям и культурным ценностям субъектов пространства. Возрастание роли информации, знания и образования в информационном обществе, модернизация инфраструктуры социальных коммуникаций, рост информации в цифровом формате (в </w:t>
      </w:r>
      <w:proofErr w:type="spellStart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 счет многократного копирования) и тенденция обесценивания печатного документа требуют поиска новых </w:t>
      </w:r>
      <w:proofErr w:type="gramStart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путей обеспечения стабильности передачи знаний</w:t>
      </w:r>
      <w:proofErr w:type="gramEnd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подрастающему поколению. Сегодня уже осознана необходимость создания специализированного социального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информационно-образовательное пространство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и подростков, ориентированного на повышение культурного и образовательного уровня подрастающего поколения, способного интегрировать все способы освоения мира юным человеком при обязательном удовлетворении требований информационной безопасности. Новизна поставленных задач, динамичные тенденции развития социального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информационно-образовательное пространство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обусловливают актуальность разработки теоретических и методологических оснований функционирования специализированного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нно-образовательного пространства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определения роли социальных институтов в его организации.</w:t>
      </w:r>
    </w:p>
    <w:p w:rsidR="009C3D1C" w:rsidRPr="009C3D1C" w:rsidRDefault="009C3D1C" w:rsidP="009C3D1C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Объектами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информационно-образовательного пространства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подрастающего поколения являются учреждения образования различных типов и видов (а также методические и административные учреждения, входящие в систему управления образованием, учебные библиотеки образовательных учреждений); учреждения культуры (специальные детские и юношеские библиотеки, публичные библиотеки, дворцы культуры, музеи и пр.); семья и детская субкультура; средства массовой информации (радио, телевидение, интернет, различные виды информационные служб) и др.</w:t>
      </w:r>
      <w:r w:rsidRPr="009C3D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End"/>
    </w:p>
    <w:p w:rsidR="009C3D1C" w:rsidRDefault="009C3D1C" w:rsidP="009C3D1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учащемуся доступны локальные образовательные пространства различных социальных институтов: школ, внешкольных учреждений, библиотек (включая их информационно-образовательные ресурсы) и др. Некоторые взаимосвязаны и </w:t>
      </w:r>
      <w:proofErr w:type="spellStart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взаимодополняемы</w:t>
      </w:r>
      <w:proofErr w:type="spellEnd"/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другие – слабо связаны между собой или же практически автономны, связи могут быть опосредованными, не явными. В плоскости пересечения названных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образовательных пространств и формируется индивидуальное образовательное пространство человека.</w:t>
      </w:r>
    </w:p>
    <w:p w:rsidR="009C3D1C" w:rsidRPr="009C3D1C" w:rsidRDefault="009C3D1C" w:rsidP="009C3D1C">
      <w:pPr>
        <w:shd w:val="clear" w:color="auto" w:fill="FFFFFF"/>
        <w:spacing w:after="30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Открытость </w:t>
      </w:r>
      <w:r w:rsidR="00B63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</w:t>
      </w:r>
      <w:r w:rsidR="00B63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нно-образовательное пространства</w:t>
      </w:r>
      <w:r w:rsidR="00B636AC"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предполагает вовлечение учащегося в </w:t>
      </w:r>
      <w:r w:rsidR="00B63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пространство,</w:t>
      </w:r>
      <w:r w:rsidRPr="009C3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снимает пространственно-временные ограничения, позволяя получать необходимую информацию в требуемом объеме в любом месте и в любое время. </w:t>
      </w:r>
    </w:p>
    <w:p w:rsidR="000A564C" w:rsidRPr="00B636AC" w:rsidRDefault="00B636AC" w:rsidP="00B636AC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информационно-образовательное пространства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позволят</w:t>
      </w:r>
      <w:r w:rsidR="000A564C" w:rsidRPr="000A564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1) повысить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познавательную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активностиь</w:t>
      </w:r>
      <w:proofErr w:type="spellEnd"/>
      <w:r w:rsidR="000A564C" w:rsidRPr="000A564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обучающихся  н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а уроках биологии;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>2) повысить интерес</w:t>
      </w:r>
      <w:r w:rsidR="000A564C" w:rsidRPr="000A564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 учению, как одного из ср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едств мотивации,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>3) формировать ключевые компетентности</w:t>
      </w:r>
      <w:r w:rsidR="000A564C" w:rsidRPr="000A564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 предмету.</w:t>
      </w:r>
    </w:p>
    <w:p w:rsidR="000A564C" w:rsidRPr="00B636AC" w:rsidRDefault="00B636AC" w:rsidP="004C12B4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B636A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и решать следующие </w:t>
      </w:r>
      <w:r w:rsidR="000A564C" w:rsidRPr="00B636AC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задачи:</w:t>
      </w:r>
    </w:p>
    <w:p w:rsidR="000A564C" w:rsidRPr="000A564C" w:rsidRDefault="000A564C" w:rsidP="000A5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содействовать развитию познавательного интереса;</w:t>
      </w:r>
    </w:p>
    <w:p w:rsidR="000A564C" w:rsidRPr="000A564C" w:rsidRDefault="000A564C" w:rsidP="000A5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повышать мотивацию к учению;</w:t>
      </w:r>
    </w:p>
    <w:p w:rsidR="000A564C" w:rsidRPr="000A564C" w:rsidRDefault="000A564C" w:rsidP="000A5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Развивать творческие способности учащихся;</w:t>
      </w:r>
    </w:p>
    <w:p w:rsidR="000A564C" w:rsidRPr="000A564C" w:rsidRDefault="000A564C" w:rsidP="000A5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Создавать комфортные условия для обучения;</w:t>
      </w:r>
    </w:p>
    <w:p w:rsidR="000A564C" w:rsidRPr="000A564C" w:rsidRDefault="000A564C" w:rsidP="000A5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Осуществлять дифференцированный подход;</w:t>
      </w:r>
    </w:p>
    <w:p w:rsidR="000A564C" w:rsidRPr="001C59D2" w:rsidRDefault="000A564C" w:rsidP="001C59D2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C59D2">
        <w:rPr>
          <w:rFonts w:eastAsiaTheme="minorEastAsia"/>
          <w:color w:val="000000" w:themeColor="text1"/>
          <w:kern w:val="24"/>
          <w:sz w:val="28"/>
          <w:szCs w:val="28"/>
        </w:rPr>
        <w:t>Создавать мультимедийные проекты по предметам;</w:t>
      </w:r>
    </w:p>
    <w:p w:rsidR="000A564C" w:rsidRPr="004C12B4" w:rsidRDefault="000A564C" w:rsidP="000A564C">
      <w:pPr>
        <w:pStyle w:val="a4"/>
        <w:numPr>
          <w:ilvl w:val="0"/>
          <w:numId w:val="1"/>
        </w:num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C12B4">
        <w:rPr>
          <w:rFonts w:eastAsiaTheme="minorEastAsia"/>
          <w:color w:val="000000" w:themeColor="text1"/>
          <w:kern w:val="24"/>
          <w:sz w:val="28"/>
          <w:szCs w:val="28"/>
        </w:rPr>
        <w:t>Проводить виртуальные экскурсии в историю развития биологии</w:t>
      </w:r>
    </w:p>
    <w:p w:rsidR="000A564C" w:rsidRPr="004C12B4" w:rsidRDefault="000A564C" w:rsidP="000A5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2B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Развивать навыки работы с информацией: добывать информацию, анализировать, осуществлять отбор</w:t>
      </w:r>
    </w:p>
    <w:p w:rsidR="000A564C" w:rsidRDefault="000A564C" w:rsidP="000A564C">
      <w:pPr>
        <w:spacing w:after="0" w:line="240" w:lineRule="auto"/>
        <w:ind w:left="720"/>
        <w:contextualSpacing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0A564C" w:rsidRPr="000A564C" w:rsidRDefault="000A564C" w:rsidP="000A564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Классификация ключевых образовательных  компетентностей А.В. </w:t>
      </w:r>
      <w:proofErr w:type="gramStart"/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Хуторского</w:t>
      </w:r>
      <w:proofErr w:type="gramEnd"/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0A564C" w:rsidRPr="000A564C" w:rsidRDefault="000A564C" w:rsidP="000A56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0A564C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Компетентность</w:t>
      </w:r>
      <w:r w:rsidRPr="000A564C">
        <w:rPr>
          <w:rFonts w:eastAsiaTheme="minorEastAsia"/>
          <w:color w:val="000000" w:themeColor="text1"/>
          <w:kern w:val="24"/>
          <w:sz w:val="28"/>
          <w:szCs w:val="28"/>
        </w:rPr>
        <w:t xml:space="preserve"> –  обладание компетенцией; обладание знаниями, позволяющими судить о чем-либо</w:t>
      </w:r>
    </w:p>
    <w:p w:rsidR="000A564C" w:rsidRPr="000A564C" w:rsidRDefault="000A564C" w:rsidP="000A56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0A564C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компетентность</w:t>
      </w:r>
      <w:r w:rsidRPr="000A564C">
        <w:rPr>
          <w:rFonts w:eastAsiaTheme="minorEastAsia"/>
          <w:color w:val="000000" w:themeColor="text1"/>
          <w:kern w:val="24"/>
          <w:sz w:val="28"/>
          <w:szCs w:val="28"/>
        </w:rPr>
        <w:t xml:space="preserve"> – это обобщенная способность к решению жизненных и профессиональных задач в той или иной области, благодаря компетенции – знаниям, умениям, опыту.</w:t>
      </w:r>
    </w:p>
    <w:p w:rsidR="000A564C" w:rsidRPr="000A564C" w:rsidRDefault="000A564C" w:rsidP="000A56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0A564C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компетентность</w:t>
      </w:r>
      <w:r w:rsidRPr="000A564C">
        <w:rPr>
          <w:rFonts w:eastAsiaTheme="minorEastAsia"/>
          <w:color w:val="000000" w:themeColor="text1"/>
          <w:kern w:val="24"/>
          <w:sz w:val="28"/>
          <w:szCs w:val="28"/>
        </w:rPr>
        <w:t xml:space="preserve"> также определяется как характеристика, даваемая человеку в результате оценки эффективности, результативности его действий, направленных на разрешение определенного круга значимых для данного сообщества задач, проблем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A564C" w:rsidRDefault="000A564C" w:rsidP="000A564C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64C" w:rsidRDefault="000A564C" w:rsidP="000A564C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64C" w:rsidRDefault="000A564C" w:rsidP="000A564C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F08C1C5" wp14:editId="2DFE6268">
            <wp:extent cx="4238625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10" cy="2762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64C" w:rsidRDefault="000A564C" w:rsidP="000A564C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0DAA06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64C" w:rsidRPr="000A564C" w:rsidRDefault="000A564C" w:rsidP="000A564C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           </w:t>
      </w:r>
      <w:r w:rsidRPr="000A564C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>Информационная компетентность в современных условиях становится одной из основных, а ее формирование – неотъемлемой частью современного образования</w:t>
      </w:r>
      <w:r w:rsidRPr="000A564C">
        <w:rPr>
          <w:rFonts w:ascii="Times New Roman" w:eastAsiaTheme="majorEastAsia" w:hAnsi="Times New Roman" w:cs="Times New Roman"/>
          <w:iCs/>
          <w:color w:val="17365D" w:themeColor="text2" w:themeShade="BF"/>
          <w:kern w:val="24"/>
          <w:sz w:val="28"/>
          <w:szCs w:val="28"/>
        </w:rPr>
        <w:t>.</w:t>
      </w:r>
    </w:p>
    <w:p w:rsidR="000A564C" w:rsidRPr="000A564C" w:rsidRDefault="000A564C" w:rsidP="000A564C">
      <w:pPr>
        <w:pStyle w:val="a4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0A564C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 xml:space="preserve">Информационная компетентность </w:t>
      </w:r>
      <w:r w:rsidRPr="000A564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- это интегративное качество личности, являющееся результатом отражения процессов отбора, усвоения, переработки, трансформации и генерирования информации в особый тип предметно-специфических знаний, позволяющее вырабатывать, принимать, прогнозировать и реализовывать оптимальные решения в различных сферах деятельности.</w:t>
      </w:r>
    </w:p>
    <w:p w:rsidR="000A564C" w:rsidRDefault="000A564C" w:rsidP="000A564C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8A8137">
            <wp:extent cx="6105525" cy="3429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64C" w:rsidRDefault="000A564C" w:rsidP="000A564C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</w:pPr>
      <w:r w:rsidRPr="000A564C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Актуальность формирования ИКТ – компетентности педагогов</w:t>
      </w:r>
      <w:r w:rsidRPr="000A56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обусловлена необходимостью </w:t>
      </w:r>
      <w:r w:rsidRPr="000A564C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информатизации образовательного пространства современной школы и активному внедрению информационно-коммуникационных технологий в образовательный процесс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.</w:t>
      </w:r>
    </w:p>
    <w:p w:rsidR="000A564C" w:rsidRPr="000A564C" w:rsidRDefault="000A564C" w:rsidP="000A564C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Программа формирования универсальных учебных действий» на всех ступенях общего образования содержит «Подпрограмму формирования </w:t>
      </w:r>
      <w:proofErr w:type="gramStart"/>
      <w:r w:rsidRPr="000A564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ИКТ-компетентности</w:t>
      </w:r>
      <w:proofErr w:type="gramEnd"/>
      <w:r w:rsidRPr="000A564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», которая описывает элементы компетентности в области применения ИКТ, входящие в те или иные универсальные учебные действия и соответствующие им технологические навыки, которые формируются в контексте изучения различных учебных предметов. </w:t>
      </w:r>
    </w:p>
    <w:p w:rsidR="000A564C" w:rsidRPr="000A564C" w:rsidRDefault="000A564C" w:rsidP="000A564C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Тем самым </w:t>
      </w:r>
      <w:r w:rsidRPr="000A564C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ИКТ-компетентность педагогов, становится фундаментом для формирования УУД в современной школе</w:t>
      </w:r>
      <w:r w:rsidR="005C183B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5C183B" w:rsidRDefault="005C183B" w:rsidP="005C183B">
      <w:pPr>
        <w:pStyle w:val="a4"/>
        <w:jc w:val="center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Pr="005C183B" w:rsidRDefault="005C183B" w:rsidP="005C183B">
      <w:pPr>
        <w:pStyle w:val="a4"/>
        <w:jc w:val="both"/>
        <w:rPr>
          <w:rFonts w:eastAsiaTheme="minorEastAsia"/>
          <w:i/>
          <w:iCs/>
          <w:color w:val="C00000"/>
          <w:kern w:val="24"/>
          <w:sz w:val="28"/>
          <w:szCs w:val="28"/>
        </w:rPr>
      </w:pPr>
      <w:r w:rsidRPr="005C183B"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ИКТ-компетентность учителя</w:t>
      </w:r>
      <w:r w:rsidRPr="005C183B">
        <w:rPr>
          <w:rFonts w:eastAsiaTheme="majorEastAsia"/>
          <w:color w:val="000000" w:themeColor="text1"/>
          <w:kern w:val="24"/>
          <w:sz w:val="28"/>
          <w:szCs w:val="28"/>
        </w:rPr>
        <w:br/>
      </w:r>
    </w:p>
    <w:p w:rsidR="005C183B" w:rsidRPr="005C183B" w:rsidRDefault="005C183B" w:rsidP="005C183B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5C183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Компетенции</w:t>
      </w:r>
      <w:r w:rsidRPr="005C183B">
        <w:rPr>
          <w:rFonts w:eastAsiaTheme="minorEastAsia"/>
          <w:color w:val="000000" w:themeColor="text1"/>
          <w:kern w:val="24"/>
          <w:sz w:val="28"/>
          <w:szCs w:val="28"/>
        </w:rPr>
        <w:t xml:space="preserve"> - это обобщенные и сформированные качества личности, ее способность наиболее универсально использовать и применять полученные знания и навыки; совокупность знаний, умений и навыков, позволяющих субъекту приспособиться к изменяющимся условиям, способность действовать и выживать в данных условиях.</w:t>
      </w:r>
    </w:p>
    <w:p w:rsidR="005C183B" w:rsidRPr="005C183B" w:rsidRDefault="005C183B" w:rsidP="005C183B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5C183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Компетентность</w:t>
      </w:r>
      <w:r w:rsidRPr="005C183B">
        <w:rPr>
          <w:rFonts w:eastAsiaTheme="minorEastAsia"/>
          <w:color w:val="000000" w:themeColor="text1"/>
          <w:kern w:val="24"/>
          <w:sz w:val="28"/>
          <w:szCs w:val="28"/>
        </w:rPr>
        <w:t xml:space="preserve"> - специальная способность человека, необходимая для выполнения конкретного действия в конкретной предметной области, включающая узкоспециальные знания, навыки, способы мышления и готовность нести ответственность за свои действия. </w:t>
      </w:r>
    </w:p>
    <w:p w:rsidR="005C183B" w:rsidRPr="005C183B" w:rsidRDefault="005C183B" w:rsidP="005C183B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5C183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Компетентностный</w:t>
      </w:r>
      <w:proofErr w:type="spellEnd"/>
      <w:r w:rsidRPr="005C183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подход</w:t>
      </w:r>
      <w:r w:rsidRPr="005C183B">
        <w:rPr>
          <w:rFonts w:eastAsiaTheme="minorEastAsia"/>
          <w:color w:val="000000" w:themeColor="text1"/>
          <w:kern w:val="24"/>
          <w:sz w:val="28"/>
          <w:szCs w:val="28"/>
        </w:rPr>
        <w:t xml:space="preserve"> - это подход, акцентирующий внимание на результате образования, причем в качестве результата рассматривается </w:t>
      </w:r>
      <w:r w:rsidRPr="005C183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не сумма усвоенной информации, а способность человека действовать в различных проблемных ситуациях.</w:t>
      </w:r>
    </w:p>
    <w:p w:rsidR="005C183B" w:rsidRPr="005C183B" w:rsidRDefault="005C183B" w:rsidP="005C183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C183B">
        <w:rPr>
          <w:rFonts w:eastAsiaTheme="minorEastAsia"/>
          <w:color w:val="000000" w:themeColor="text1"/>
          <w:kern w:val="24"/>
          <w:sz w:val="28"/>
          <w:szCs w:val="28"/>
        </w:rPr>
        <w:t>Под </w:t>
      </w:r>
      <w:proofErr w:type="gramStart"/>
      <w:r w:rsidRPr="005C183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ИКТ-компетентностью</w:t>
      </w:r>
      <w:proofErr w:type="gramEnd"/>
      <w:r w:rsidRPr="005C183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учителя-предметника</w:t>
      </w:r>
      <w:r w:rsidRPr="005C183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  <w:r w:rsidRPr="005C183B">
        <w:rPr>
          <w:rFonts w:eastAsiaTheme="minorEastAsia"/>
          <w:color w:val="000000" w:themeColor="text1"/>
          <w:kern w:val="24"/>
          <w:sz w:val="28"/>
          <w:szCs w:val="28"/>
        </w:rPr>
        <w:t>мы будем понимать не только использование различных информационных инструментов, но и эффективное применение их в педагогической деятельности.</w:t>
      </w:r>
    </w:p>
    <w:p w:rsidR="000A564C" w:rsidRDefault="000A564C" w:rsidP="005C183B">
      <w:pPr>
        <w:tabs>
          <w:tab w:val="left" w:pos="8070"/>
        </w:tabs>
        <w:jc w:val="center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pStyle w:val="a4"/>
        <w:ind w:left="1416" w:firstLine="708"/>
        <w:jc w:val="both"/>
        <w:rPr>
          <w:rFonts w:eastAsiaTheme="majorEastAsia"/>
          <w:i/>
          <w:iCs/>
          <w:color w:val="000000" w:themeColor="text1"/>
          <w:kern w:val="24"/>
          <w:sz w:val="28"/>
          <w:szCs w:val="28"/>
        </w:rPr>
      </w:pPr>
    </w:p>
    <w:p w:rsidR="005C183B" w:rsidRPr="005C183B" w:rsidRDefault="005C183B" w:rsidP="005C183B">
      <w:pPr>
        <w:pStyle w:val="a4"/>
        <w:ind w:left="1416" w:firstLine="708"/>
        <w:jc w:val="both"/>
        <w:rPr>
          <w:rFonts w:eastAsiaTheme="minorEastAsia"/>
          <w:i/>
          <w:iCs/>
          <w:color w:val="C00000"/>
          <w:kern w:val="24"/>
          <w:sz w:val="28"/>
          <w:szCs w:val="28"/>
        </w:rPr>
      </w:pPr>
      <w:r w:rsidRPr="005C183B"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ИКТ-компетентность учителя</w:t>
      </w:r>
      <w:r w:rsidRPr="005C183B">
        <w:rPr>
          <w:rFonts w:eastAsiaTheme="majorEastAsia"/>
          <w:color w:val="000000" w:themeColor="text1"/>
          <w:kern w:val="24"/>
          <w:sz w:val="28"/>
          <w:szCs w:val="28"/>
        </w:rPr>
        <w:br/>
      </w:r>
    </w:p>
    <w:p w:rsidR="005C183B" w:rsidRDefault="005C183B" w:rsidP="005C183B">
      <w:pPr>
        <w:tabs>
          <w:tab w:val="left" w:pos="8070"/>
        </w:tabs>
        <w:jc w:val="center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p w:rsidR="005C183B" w:rsidRDefault="005C183B" w:rsidP="005C183B">
      <w:pPr>
        <w:tabs>
          <w:tab w:val="left" w:pos="8070"/>
        </w:tabs>
        <w:jc w:val="center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A0E69D" wp14:editId="2FBC08A7">
            <wp:extent cx="5571758" cy="4371975"/>
            <wp:effectExtent l="0" t="0" r="0" b="0"/>
            <wp:docPr id="5" name="Picture 1" descr="Радиальная диаграмма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Радиальная диаграмма"/>
                    <pic:cNvPicPr>
                      <a:picLocks noGr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13" cy="437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35" w:rsidRDefault="00782935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inline distT="0" distB="0" distL="0" distR="0" wp14:anchorId="3AEF667A">
            <wp:extent cx="59817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935" w:rsidRDefault="00782935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p w:rsidR="00782935" w:rsidRDefault="00782935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inline distT="0" distB="0" distL="0" distR="0" wp14:anchorId="2AA95A0C">
            <wp:extent cx="6153150" cy="6048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289" cy="604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935" w:rsidRPr="00BE2388" w:rsidRDefault="00782935" w:rsidP="00BE2388">
      <w:pPr>
        <w:tabs>
          <w:tab w:val="left" w:pos="8070"/>
        </w:tabs>
        <w:jc w:val="center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>Двухуровневая </w:t>
      </w:r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>Модель </w:t>
      </w:r>
      <w:hyperlink r:id="rId13" w:history="1">
        <w:r w:rsidRPr="00BE2388">
          <w:rPr>
            <w:rStyle w:val="a7"/>
            <w:rFonts w:asciiTheme="majorHAnsi" w:eastAsiaTheme="majorEastAsia" w:hAnsi="Calibri" w:cstheme="majorBidi"/>
            <w:i/>
            <w:iCs/>
            <w:color w:val="000000" w:themeColor="text1"/>
            <w:kern w:val="24"/>
            <w:sz w:val="28"/>
            <w:szCs w:val="28"/>
          </w:rPr>
          <w:t>ИКТ</w:t>
        </w:r>
        <w:proofErr w:type="gramStart"/>
      </w:hyperlink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>-</w:t>
      </w:r>
      <w:proofErr w:type="gramEnd"/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>компетентность</w:t>
      </w:r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BE2388">
        <w:rPr>
          <w:rFonts w:asciiTheme="majorHAnsi" w:eastAsiaTheme="majorEastAsia" w:hAnsi="Calibri" w:cstheme="majorBidi"/>
          <w:i/>
          <w:iCs/>
          <w:color w:val="000000" w:themeColor="text1"/>
          <w:kern w:val="24"/>
          <w:sz w:val="28"/>
          <w:szCs w:val="28"/>
        </w:rPr>
        <w:t>учителя</w:t>
      </w:r>
      <w:r w:rsidRPr="00BE2388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br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BE2388" w:rsidTr="00BE2388">
        <w:tc>
          <w:tcPr>
            <w:tcW w:w="4786" w:type="dxa"/>
          </w:tcPr>
          <w:p w:rsidR="00BE2388" w:rsidRPr="00BE2388" w:rsidRDefault="00BE2388" w:rsidP="00BE2388">
            <w:pPr>
              <w:tabs>
                <w:tab w:val="left" w:pos="8070"/>
              </w:tabs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Знаниевый</w:t>
            </w:r>
            <w:proofErr w:type="spellEnd"/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уровень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 – это уровень овладения ИКТ.</w:t>
            </w:r>
          </w:p>
          <w:p w:rsidR="00BE2388" w:rsidRDefault="00BE2388" w:rsidP="00BE2388">
            <w:pPr>
              <w:tabs>
                <w:tab w:val="left" w:pos="8070"/>
              </w:tabs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785" w:type="dxa"/>
          </w:tcPr>
          <w:p w:rsidR="00BE2388" w:rsidRPr="00BE2388" w:rsidRDefault="00BE2388" w:rsidP="00BE2388">
            <w:pPr>
              <w:tabs>
                <w:tab w:val="left" w:pos="8070"/>
              </w:tabs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Деятельностный</w:t>
            </w:r>
            <w:proofErr w:type="spellEnd"/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уровень – это уровень использования ИКТ.</w:t>
            </w:r>
          </w:p>
          <w:p w:rsidR="00BE2388" w:rsidRDefault="00BE2388" w:rsidP="00BE2388">
            <w:pPr>
              <w:tabs>
                <w:tab w:val="left" w:pos="8070"/>
              </w:tabs>
              <w:jc w:val="center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BE2388" w:rsidTr="00BE2388">
        <w:tc>
          <w:tcPr>
            <w:tcW w:w="4786" w:type="dxa"/>
          </w:tcPr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. 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Подуровень  общей компьютерной                  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ab/>
              <w:t xml:space="preserve">        грамотности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Это  уровень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  </w:t>
            </w: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общепедагогических знаний, умений и навыков в сфере применения ИКТ в образовательной деятельности</w:t>
            </w:r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б. Подуровень </w:t>
            </w:r>
            <w:proofErr w:type="gramStart"/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специфической</w:t>
            </w:r>
            <w:proofErr w:type="gramEnd"/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,</w:t>
            </w:r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предметной  компьютерной </w:t>
            </w:r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 грамотности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        Это знания, умения и навыки, которые специфичны для предметной области. Например, учителя естественнонаучных предметов должны уметь использовать компьютерные математические модели процессов, связанных с их предметом (а на более высоком уровне – создавать такие модели).</w:t>
            </w:r>
          </w:p>
          <w:p w:rsidR="00BE2388" w:rsidRDefault="00BE2388" w:rsidP="00782935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785" w:type="dxa"/>
          </w:tcPr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а.  Подуровень организационных инноваций</w:t>
            </w:r>
            <w:r w:rsidRPr="00BE2388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kern w:val="24"/>
                <w:sz w:val="28"/>
                <w:szCs w:val="28"/>
              </w:rPr>
              <w:t> </w:t>
            </w:r>
          </w:p>
          <w:p w:rsidR="00220321" w:rsidRPr="00BE2388" w:rsidRDefault="005349CA" w:rsidP="00BE2388">
            <w:pPr>
              <w:numPr>
                <w:ilvl w:val="0"/>
                <w:numId w:val="5"/>
              </w:num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реализации дистанционного, очно-заочного, домашнего обучения,  организация и сопровождение сетевых форм осуществления образовательного процесса и </w:t>
            </w:r>
            <w:proofErr w:type="spellStart"/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т</w:t>
            </w:r>
            <w:proofErr w:type="gramStart"/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.д</w:t>
            </w:r>
            <w:proofErr w:type="spellEnd"/>
            <w:proofErr w:type="gramEnd"/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б</w:t>
            </w:r>
            <w:proofErr w:type="gramEnd"/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.</w:t>
            </w:r>
            <w:r w:rsidR="00B636AC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BE2388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Подуровень содержательных инноваций</w:t>
            </w:r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ab/>
            </w:r>
            <w:proofErr w:type="gramStart"/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характеризуется систематическим, целенаправленным и эффективным использованием ИКТ-ресурсов и электронных образовательных ресурсов (</w:t>
            </w:r>
            <w:hyperlink r:id="rId14" w:history="1">
              <w:r w:rsidRPr="00BE2388">
                <w:rPr>
                  <w:rStyle w:val="a7"/>
                  <w:rFonts w:ascii="Times New Roman" w:eastAsiaTheme="majorEastAsia" w:hAnsi="Times New Roman" w:cs="Times New Roman"/>
                  <w:iCs/>
                  <w:kern w:val="24"/>
                  <w:sz w:val="28"/>
                  <w:szCs w:val="28"/>
                </w:rPr>
                <w:t>ЭОР</w:t>
              </w:r>
            </w:hyperlink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) в достижении нового качества образования(</w:t>
            </w:r>
            <w:proofErr w:type="gramEnd"/>
          </w:p>
          <w:p w:rsidR="00220321" w:rsidRPr="00BE2388" w:rsidRDefault="005349CA" w:rsidP="00BE2388">
            <w:pPr>
              <w:numPr>
                <w:ilvl w:val="0"/>
                <w:numId w:val="6"/>
              </w:num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организация элективных курсов, учебных практик, курсов профессиональной и профильной ориентации;</w:t>
            </w:r>
          </w:p>
          <w:p w:rsidR="00220321" w:rsidRPr="00BE2388" w:rsidRDefault="005349CA" w:rsidP="00BE2388">
            <w:pPr>
              <w:numPr>
                <w:ilvl w:val="0"/>
                <w:numId w:val="6"/>
              </w:num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организация образовательного процесса на основе самостоятельной индивидуальной и групповой деятельности учащихся</w:t>
            </w:r>
            <w:proofErr w:type="gramStart"/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;</w:t>
            </w:r>
            <w:proofErr w:type="gramEnd"/>
          </w:p>
          <w:p w:rsidR="00BE2388" w:rsidRPr="00BE2388" w:rsidRDefault="00BE2388" w:rsidP="00BE2388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BE2388"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•   применение новых диагностических средств оценки качества образования</w:t>
            </w:r>
          </w:p>
          <w:p w:rsidR="00BE2388" w:rsidRDefault="00BE2388" w:rsidP="00782935">
            <w:pPr>
              <w:tabs>
                <w:tab w:val="left" w:pos="8070"/>
              </w:tabs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782935" w:rsidRDefault="001C6561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inline distT="0" distB="0" distL="0" distR="0" wp14:anchorId="2F4AE9B5">
            <wp:extent cx="6143625" cy="4829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2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184" w:rsidRDefault="00CB5184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p w:rsidR="00CB5184" w:rsidRDefault="00CB5184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</w:p>
    <w:p w:rsidR="00CB5184" w:rsidRDefault="00CB5184" w:rsidP="00782935">
      <w:pPr>
        <w:tabs>
          <w:tab w:val="left" w:pos="8070"/>
        </w:tabs>
        <w:jc w:val="both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inline distT="0" distB="0" distL="0" distR="0" wp14:anchorId="29B9516D">
            <wp:extent cx="6038850" cy="3781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68" cy="378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2B4" w:rsidRPr="00360BF1" w:rsidRDefault="004C12B4" w:rsidP="004C12B4">
      <w:pPr>
        <w:tabs>
          <w:tab w:val="left" w:pos="8070"/>
        </w:tabs>
        <w:jc w:val="center"/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360BF1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>Использование информационных и коммуникационных технологий на уроках биологии:</w:t>
      </w:r>
    </w:p>
    <w:p w:rsidR="00024CE9" w:rsidRPr="00024CE9" w:rsidRDefault="00024CE9" w:rsidP="00024CE9">
      <w:pPr>
        <w:spacing w:before="8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</w:r>
      <w:r w:rsidR="00360BF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</w:r>
      <w:r w:rsidR="00360BF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</w:r>
      <w:r w:rsidR="00360BF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</w:r>
      <w:r w:rsidR="00360BF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ab/>
      </w:r>
      <w:proofErr w:type="spellStart"/>
      <w:r w:rsidRPr="00024CE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Медиатека</w:t>
      </w:r>
      <w:proofErr w:type="spellEnd"/>
      <w:r w:rsidRPr="00024CE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по биологии</w:t>
      </w:r>
      <w:r w:rsidR="00360BF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:</w:t>
      </w:r>
    </w:p>
    <w:p w:rsidR="00024CE9" w:rsidRPr="00024CE9" w:rsidRDefault="00024CE9" w:rsidP="00024CE9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Электронные уроки и тесты. Биология в школе. Жизнедеятельность животных. (На всех этапах урока, наглядность, для подготовки докладов и выступлений обучающихся, внеклассная работа. 7, 10–11-й классы.)</w:t>
      </w:r>
    </w:p>
    <w:p w:rsidR="00024CE9" w:rsidRPr="00024CE9" w:rsidRDefault="00024CE9" w:rsidP="00024CE9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Электронные уроки и тесты. Биология в школе. Организация жизни. (Все этапы урока, подготовка рефератов, иллюстративность, использование для проведения занимательных занятий. 6–11-й классы.)</w:t>
      </w:r>
    </w:p>
    <w:p w:rsidR="00024CE9" w:rsidRPr="00024CE9" w:rsidRDefault="00024CE9" w:rsidP="00024CE9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Электронные уроки и тесты. Биология в школе. Растительный мир. (Все этапы уроков, организация интеллектуальных турниров. 6-й класс.)</w:t>
      </w:r>
    </w:p>
    <w:p w:rsidR="00024CE9" w:rsidRPr="00024CE9" w:rsidRDefault="00024CE9" w:rsidP="00024CE9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Биология 6–11-й </w:t>
      </w:r>
      <w:proofErr w:type="spellStart"/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кл</w:t>
      </w:r>
      <w:proofErr w:type="spellEnd"/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«Кирилл и Мефодий». (Все этапы урока, индивидуальная творческая работа.)</w:t>
      </w:r>
    </w:p>
    <w:p w:rsidR="004C12B4" w:rsidRPr="00360BF1" w:rsidRDefault="00024CE9" w:rsidP="00024CE9">
      <w:pPr>
        <w:pStyle w:val="a4"/>
        <w:numPr>
          <w:ilvl w:val="0"/>
          <w:numId w:val="7"/>
        </w:numPr>
        <w:tabs>
          <w:tab w:val="left" w:pos="8070"/>
        </w:tabs>
        <w:jc w:val="center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360BF1">
        <w:rPr>
          <w:rFonts w:eastAsiaTheme="minorEastAsia"/>
          <w:color w:val="000000" w:themeColor="text1"/>
          <w:kern w:val="24"/>
          <w:sz w:val="28"/>
          <w:szCs w:val="28"/>
        </w:rPr>
        <w:t>Биология. Репетитор. (Подготовка к урокам, олимпиадам, сдаче экзаменов)</w:t>
      </w:r>
    </w:p>
    <w:p w:rsidR="00024CE9" w:rsidRDefault="00024CE9" w:rsidP="00024CE9">
      <w:pPr>
        <w:pStyle w:val="a4"/>
        <w:tabs>
          <w:tab w:val="left" w:pos="8070"/>
        </w:tabs>
        <w:jc w:val="center"/>
        <w:rPr>
          <w:rFonts w:eastAsiaTheme="majorEastAsia"/>
          <w:iCs/>
          <w:color w:val="000000" w:themeColor="text1"/>
          <w:kern w:val="24"/>
          <w:sz w:val="28"/>
          <w:szCs w:val="28"/>
        </w:rPr>
      </w:pPr>
    </w:p>
    <w:p w:rsidR="00024CE9" w:rsidRPr="00024CE9" w:rsidRDefault="00024CE9" w:rsidP="00024CE9">
      <w:pPr>
        <w:pStyle w:val="a4"/>
        <w:tabs>
          <w:tab w:val="left" w:pos="8070"/>
        </w:tabs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>Практические работы с использованием цифрового микроскопа.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«Правила работы с цифровым микроскопом. Рассмотрение клеток кожицы лука».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«Споры папоротника».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«Строение вегетативных и генеративных почек».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«Внешнее строение листа».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«Внешнее и внутреннее строение стебля».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«Строение зеленых водорослей».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внешнего вида хвойных растений. Строение хвоинки».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строения плесневых грибов и дрожжей».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дождевого червя».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строения крыла насекомого. Крыло бабочки при разном увеличении».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«Споры папоротника».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«Строение вегетативных и генеративных почек».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«Внешнее строение листа».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«Внешнее и внутреннее строение стебля».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«Строение зеленых водорослей».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внешнего вида хвойных растений. Строение хвоинки».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строения плесневых грибов и дрожжей».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дождевого червя».</w:t>
      </w:r>
    </w:p>
    <w:p w:rsidR="00024CE9" w:rsidRPr="00024CE9" w:rsidRDefault="00024CE9" w:rsidP="00024CE9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«Изучение строения крыла насекомого. Крыло бабочки при разном увеличении».</w:t>
      </w:r>
    </w:p>
    <w:p w:rsidR="00024CE9" w:rsidRPr="00024CE9" w:rsidRDefault="00024CE9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>Работа с мультимедийными пособиями 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видеоматериала, и позволяет сформировать умение:</w:t>
      </w:r>
    </w:p>
    <w:p w:rsidR="00024CE9" w:rsidRPr="00024CE9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- </w:t>
      </w:r>
      <w:r w:rsidR="00024CE9"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>обобщать, анализировать, систематизировать информацию по интересующей теме;</w:t>
      </w:r>
    </w:p>
    <w:p w:rsidR="00024CE9" w:rsidRPr="00024CE9" w:rsidRDefault="00024CE9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 </w:t>
      </w:r>
      <w:r w:rsidR="00360BF1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- </w:t>
      </w: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работать в группе;</w:t>
      </w:r>
    </w:p>
    <w:p w:rsidR="00024CE9" w:rsidRPr="00024CE9" w:rsidRDefault="00024CE9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 </w:t>
      </w:r>
      <w:r w:rsidR="00360BF1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- </w:t>
      </w: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находить информацию в различных источниках;</w:t>
      </w:r>
    </w:p>
    <w:p w:rsidR="00024CE9" w:rsidRPr="00024CE9" w:rsidRDefault="00024CE9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 </w:t>
      </w:r>
      <w:r w:rsidR="00360BF1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- </w:t>
      </w: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формирует коммуникативную компетентность;</w:t>
      </w:r>
    </w:p>
    <w:p w:rsidR="00024CE9" w:rsidRDefault="00024CE9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024CE9">
        <w:rPr>
          <w:rFonts w:eastAsiaTheme="majorEastAsia"/>
          <w:iCs/>
          <w:color w:val="000000" w:themeColor="text1"/>
          <w:kern w:val="24"/>
          <w:sz w:val="28"/>
          <w:szCs w:val="28"/>
        </w:rPr>
        <w:t>позволяет осознать полезность получаемых знаний и умений.</w:t>
      </w:r>
    </w:p>
    <w:p w:rsidR="00360BF1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Такая работа может осуществляться на разных этапах урока:</w:t>
      </w:r>
    </w:p>
    <w:p w:rsidR="00360BF1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- как способ создания проблемной ситуации;</w:t>
      </w:r>
    </w:p>
    <w:p w:rsidR="00360BF1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- как способ объяснения нового материала;</w:t>
      </w:r>
    </w:p>
    <w:p w:rsidR="00360BF1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- как форма закрепления изученного;</w:t>
      </w:r>
    </w:p>
    <w:p w:rsidR="00360BF1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- как форма проверки домашнего задания;</w:t>
      </w:r>
    </w:p>
    <w:p w:rsidR="00360BF1" w:rsidRDefault="00360BF1" w:rsidP="00024CE9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- как способ проверки знаний в течение урока.</w:t>
      </w:r>
    </w:p>
    <w:p w:rsidR="00360BF1" w:rsidRPr="00360BF1" w:rsidRDefault="00360BF1" w:rsidP="00360BF1">
      <w:pPr>
        <w:pStyle w:val="a3"/>
        <w:kinsoku w:val="0"/>
        <w:overflowPunct w:val="0"/>
        <w:spacing w:before="0" w:beforeAutospacing="0" w:after="0" w:afterAutospacing="0"/>
        <w:ind w:firstLine="346"/>
        <w:jc w:val="both"/>
        <w:textAlignment w:val="baseline"/>
        <w:rPr>
          <w:sz w:val="28"/>
          <w:szCs w:val="28"/>
        </w:rPr>
      </w:pPr>
      <w:r w:rsidRPr="00360BF1">
        <w:rPr>
          <w:color w:val="000000" w:themeColor="text1"/>
          <w:kern w:val="24"/>
          <w:position w:val="1"/>
          <w:sz w:val="28"/>
          <w:szCs w:val="28"/>
        </w:rPr>
        <w:t xml:space="preserve">Таким образом, у учащихся формируются ключевые компетентности, предъявляемые </w:t>
      </w:r>
      <w:r>
        <w:rPr>
          <w:color w:val="000000" w:themeColor="text1"/>
          <w:kern w:val="24"/>
          <w:position w:val="1"/>
          <w:sz w:val="28"/>
          <w:szCs w:val="28"/>
        </w:rPr>
        <w:t xml:space="preserve"> Федеральными го</w:t>
      </w:r>
      <w:r w:rsidRPr="00360BF1">
        <w:rPr>
          <w:color w:val="000000" w:themeColor="text1"/>
          <w:kern w:val="24"/>
          <w:position w:val="1"/>
          <w:sz w:val="28"/>
          <w:szCs w:val="28"/>
        </w:rPr>
        <w:t>сударственными стандартами образования</w:t>
      </w:r>
      <w:r>
        <w:rPr>
          <w:color w:val="000000" w:themeColor="text1"/>
          <w:kern w:val="24"/>
          <w:position w:val="1"/>
          <w:sz w:val="28"/>
          <w:szCs w:val="28"/>
        </w:rPr>
        <w:t>.</w:t>
      </w:r>
      <w:r w:rsidRPr="00360BF1">
        <w:rPr>
          <w:rFonts w:eastAsiaTheme="minorEastAsia"/>
          <w:color w:val="000000" w:themeColor="text1"/>
          <w:kern w:val="24"/>
          <w:position w:val="1"/>
          <w:sz w:val="28"/>
          <w:szCs w:val="28"/>
        </w:rPr>
        <w:t xml:space="preserve"> </w:t>
      </w:r>
    </w:p>
    <w:p w:rsidR="00360BF1" w:rsidRPr="00081AA1" w:rsidRDefault="00360BF1" w:rsidP="00360BF1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</w:p>
    <w:p w:rsidR="00081AA1" w:rsidRPr="00081AA1" w:rsidRDefault="00081AA1" w:rsidP="00360BF1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  <w:r w:rsidRPr="00081AA1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Литература</w:t>
      </w:r>
      <w:r w:rsidR="005349CA">
        <w:rPr>
          <w:rFonts w:eastAsiaTheme="majorEastAsia"/>
          <w:iCs/>
          <w:color w:val="000000" w:themeColor="text1"/>
          <w:kern w:val="24"/>
          <w:sz w:val="28"/>
          <w:szCs w:val="28"/>
        </w:rPr>
        <w:t>: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 xml:space="preserve">1. Базовая ИКТ компетенция как основа </w:t>
      </w:r>
      <w:proofErr w:type="gramStart"/>
      <w:r w:rsidRPr="00081AA1">
        <w:rPr>
          <w:color w:val="000000"/>
          <w:sz w:val="28"/>
          <w:szCs w:val="28"/>
        </w:rPr>
        <w:t>Интернет-образования</w:t>
      </w:r>
      <w:proofErr w:type="gramEnd"/>
      <w:r w:rsidRPr="00081AA1">
        <w:rPr>
          <w:color w:val="000000"/>
          <w:sz w:val="28"/>
          <w:szCs w:val="28"/>
        </w:rPr>
        <w:t xml:space="preserve"> учителя: Тезисы доклада А.А. Елизарова на конференции RELARN-2004 июнь 2004 г. –  Ассоциация   RELARN. – Режим доступа: </w:t>
      </w:r>
      <w:hyperlink r:id="rId17" w:history="1">
        <w:r w:rsidRPr="00081AA1">
          <w:rPr>
            <w:rStyle w:val="a7"/>
            <w:color w:val="560000"/>
            <w:sz w:val="28"/>
            <w:szCs w:val="28"/>
          </w:rPr>
          <w:t>http://www.relarn.ru/conf/conf2004/section3/3_11.html</w:t>
        </w:r>
      </w:hyperlink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lastRenderedPageBreak/>
        <w:t>2. </w:t>
      </w:r>
      <w:proofErr w:type="spellStart"/>
      <w:r w:rsidRPr="00081AA1">
        <w:rPr>
          <w:color w:val="000000"/>
          <w:sz w:val="28"/>
          <w:szCs w:val="28"/>
        </w:rPr>
        <w:t>Гендина</w:t>
      </w:r>
      <w:proofErr w:type="spellEnd"/>
      <w:r w:rsidRPr="00081AA1">
        <w:rPr>
          <w:color w:val="000000"/>
          <w:sz w:val="28"/>
          <w:szCs w:val="28"/>
        </w:rPr>
        <w:t xml:space="preserve"> Н. И. Информационная грамотность и информационная культура личности: международный и российский подходы к решению проблемы // Открытое образование. 2007. № 5(64). С. 58—69.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3. Горбунова Л.Н., Семибратов А.М. Повышение квалификации педагогов в области информационно-коммуникационных технологий как развивающаяся система / Педагогическая информатика. – 2004. – № 3. – с. 3.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4. Лебедева М.Б., Шилова О.</w:t>
      </w:r>
      <w:proofErr w:type="gramStart"/>
      <w:r w:rsidRPr="00081AA1">
        <w:rPr>
          <w:color w:val="000000"/>
          <w:sz w:val="28"/>
          <w:szCs w:val="28"/>
        </w:rPr>
        <w:t>Н.</w:t>
      </w:r>
      <w:proofErr w:type="gramEnd"/>
      <w:r w:rsidRPr="00081AA1">
        <w:rPr>
          <w:color w:val="000000"/>
          <w:sz w:val="28"/>
          <w:szCs w:val="28"/>
        </w:rPr>
        <w:t xml:space="preserve"> Что такое ИКТ-компетентность студентов педагогического университета и как ее формировать? // Информатика и образование. – 2004. – N 3. – с.95-100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5. </w:t>
      </w:r>
      <w:proofErr w:type="gramStart"/>
      <w:r w:rsidRPr="00081AA1">
        <w:rPr>
          <w:color w:val="000000"/>
          <w:sz w:val="28"/>
          <w:szCs w:val="28"/>
        </w:rPr>
        <w:t xml:space="preserve">Панина Т.С., Дочкин С.А., </w:t>
      </w:r>
      <w:proofErr w:type="spellStart"/>
      <w:r w:rsidRPr="00081AA1">
        <w:rPr>
          <w:color w:val="000000"/>
          <w:sz w:val="28"/>
          <w:szCs w:val="28"/>
        </w:rPr>
        <w:t>Клецов</w:t>
      </w:r>
      <w:proofErr w:type="spellEnd"/>
      <w:r w:rsidRPr="00081AA1">
        <w:rPr>
          <w:color w:val="000000"/>
          <w:sz w:val="28"/>
          <w:szCs w:val="28"/>
        </w:rPr>
        <w:t xml:space="preserve"> Ю.В. Уровни информационно-коммуникационной компетентности педагогических работников // [Электронный ресурс]</w:t>
      </w:r>
      <w:r w:rsidRPr="00081AA1">
        <w:rPr>
          <w:rStyle w:val="apple-converted-space"/>
          <w:color w:val="000000"/>
          <w:sz w:val="28"/>
          <w:szCs w:val="28"/>
        </w:rPr>
        <w:t> </w:t>
      </w:r>
      <w:hyperlink r:id="rId18" w:history="1">
        <w:r w:rsidRPr="00081AA1">
          <w:rPr>
            <w:rStyle w:val="a7"/>
            <w:color w:val="560000"/>
            <w:sz w:val="28"/>
            <w:szCs w:val="28"/>
          </w:rPr>
          <w:t>http://www.belpc.ru/krirpo/index.php]</w:t>
        </w:r>
      </w:hyperlink>
      <w:proofErr w:type="gramEnd"/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6. Профессиональный стандарт «Педагог» (педагогическая деятельность в дошкольном, начальном общем, основном общем, среднем общем образовании (воспитатель, учитель)). Утвержден приказом Министерства труда и социальной защиты Российской Федерации от 18 октября 2013 г. N 544н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 xml:space="preserve">7. Роберт И.В. Теория и методика информатизации образования (психолого-педагогический и технологический аспекты). ИИО РАО. М., 2007, 18. </w:t>
      </w:r>
      <w:proofErr w:type="spellStart"/>
      <w:r w:rsidRPr="00081AA1">
        <w:rPr>
          <w:color w:val="000000"/>
          <w:sz w:val="28"/>
          <w:szCs w:val="28"/>
        </w:rPr>
        <w:t>п.</w:t>
      </w:r>
      <w:proofErr w:type="gramStart"/>
      <w:r w:rsidRPr="00081AA1">
        <w:rPr>
          <w:color w:val="000000"/>
          <w:sz w:val="28"/>
          <w:szCs w:val="28"/>
        </w:rPr>
        <w:t>л</w:t>
      </w:r>
      <w:proofErr w:type="spellEnd"/>
      <w:proofErr w:type="gramEnd"/>
      <w:r w:rsidRPr="00081AA1">
        <w:rPr>
          <w:color w:val="000000"/>
          <w:sz w:val="28"/>
          <w:szCs w:val="28"/>
        </w:rPr>
        <w:t>.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8. Роберт И.В., Поляков В.А. Основные направления научных исследований в области информатизации профессионального образования. – М.: «Образование и Информатика», 2004.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9. </w:t>
      </w:r>
      <w:proofErr w:type="spellStart"/>
      <w:r w:rsidRPr="00081AA1">
        <w:rPr>
          <w:color w:val="000000"/>
          <w:sz w:val="28"/>
          <w:szCs w:val="28"/>
        </w:rPr>
        <w:t>Хеннер</w:t>
      </w:r>
      <w:proofErr w:type="spellEnd"/>
      <w:r w:rsidRPr="00081AA1">
        <w:rPr>
          <w:color w:val="000000"/>
          <w:sz w:val="28"/>
          <w:szCs w:val="28"/>
        </w:rPr>
        <w:t xml:space="preserve"> Е. К. Структурирование и формализация требований к  компьютерной грамотности и </w:t>
      </w:r>
      <w:proofErr w:type="gramStart"/>
      <w:r w:rsidRPr="00081AA1">
        <w:rPr>
          <w:color w:val="000000"/>
          <w:sz w:val="28"/>
          <w:szCs w:val="28"/>
        </w:rPr>
        <w:t>ИКТ-компетентности</w:t>
      </w:r>
      <w:proofErr w:type="gramEnd"/>
      <w:r w:rsidRPr="00081AA1">
        <w:rPr>
          <w:color w:val="000000"/>
          <w:sz w:val="28"/>
          <w:szCs w:val="28"/>
        </w:rPr>
        <w:t xml:space="preserve"> субъектов системы непрерывного образования // Информатизация образования и науки. – 2009. №2. С. 71–85.</w:t>
      </w:r>
    </w:p>
    <w:p w:rsidR="00081AA1" w:rsidRPr="00081AA1" w:rsidRDefault="00081AA1" w:rsidP="00081AA1">
      <w:pPr>
        <w:pStyle w:val="a3"/>
        <w:spacing w:before="120" w:beforeAutospacing="0" w:after="120" w:afterAutospacing="0"/>
        <w:ind w:left="57" w:firstLine="525"/>
        <w:jc w:val="both"/>
        <w:rPr>
          <w:color w:val="000000"/>
          <w:sz w:val="28"/>
          <w:szCs w:val="28"/>
        </w:rPr>
      </w:pPr>
      <w:r w:rsidRPr="00081AA1">
        <w:rPr>
          <w:color w:val="000000"/>
          <w:sz w:val="28"/>
          <w:szCs w:val="28"/>
        </w:rPr>
        <w:t>10. </w:t>
      </w:r>
      <w:proofErr w:type="spellStart"/>
      <w:r w:rsidRPr="00081AA1">
        <w:rPr>
          <w:color w:val="000000"/>
          <w:sz w:val="28"/>
          <w:szCs w:val="28"/>
        </w:rPr>
        <w:t>Хеннер</w:t>
      </w:r>
      <w:proofErr w:type="spellEnd"/>
      <w:r w:rsidRPr="00081AA1">
        <w:rPr>
          <w:color w:val="000000"/>
          <w:sz w:val="28"/>
          <w:szCs w:val="28"/>
        </w:rPr>
        <w:t xml:space="preserve"> Е. К., Шестаков А. П. Информационно-коммуникационная компетентность учит</w:t>
      </w:r>
      <w:r w:rsidR="00B636AC">
        <w:rPr>
          <w:color w:val="000000"/>
          <w:sz w:val="28"/>
          <w:szCs w:val="28"/>
        </w:rPr>
        <w:t>еля</w:t>
      </w:r>
      <w:proofErr w:type="gramStart"/>
      <w:r w:rsidR="00B636AC">
        <w:rPr>
          <w:color w:val="000000"/>
          <w:sz w:val="28"/>
          <w:szCs w:val="28"/>
        </w:rPr>
        <w:t>.</w:t>
      </w:r>
      <w:proofErr w:type="gramEnd"/>
      <w:r w:rsidR="00B636AC">
        <w:rPr>
          <w:color w:val="000000"/>
          <w:sz w:val="28"/>
          <w:szCs w:val="28"/>
        </w:rPr>
        <w:t>,2006</w:t>
      </w:r>
      <w:bookmarkStart w:id="0" w:name="_GoBack"/>
      <w:bookmarkEnd w:id="0"/>
    </w:p>
    <w:p w:rsidR="00360BF1" w:rsidRPr="00360BF1" w:rsidRDefault="00360BF1" w:rsidP="00360BF1">
      <w:pPr>
        <w:pStyle w:val="a4"/>
        <w:tabs>
          <w:tab w:val="left" w:pos="8070"/>
        </w:tabs>
        <w:jc w:val="both"/>
        <w:rPr>
          <w:rFonts w:eastAsiaTheme="majorEastAsia"/>
          <w:iCs/>
          <w:color w:val="000000" w:themeColor="text1"/>
          <w:kern w:val="24"/>
          <w:sz w:val="28"/>
          <w:szCs w:val="28"/>
        </w:rPr>
      </w:pPr>
    </w:p>
    <w:sectPr w:rsidR="00360BF1" w:rsidRPr="003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498"/>
    <w:multiLevelType w:val="hybridMultilevel"/>
    <w:tmpl w:val="4D66A4DA"/>
    <w:lvl w:ilvl="0" w:tplc="B5ECA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9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6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C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C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5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0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6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0C75E3"/>
    <w:multiLevelType w:val="hybridMultilevel"/>
    <w:tmpl w:val="CE8445A2"/>
    <w:lvl w:ilvl="0" w:tplc="A89C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5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4E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2A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A9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3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8B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8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C5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407326"/>
    <w:multiLevelType w:val="hybridMultilevel"/>
    <w:tmpl w:val="6B8EA16A"/>
    <w:lvl w:ilvl="0" w:tplc="5F6C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E5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8E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4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E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E9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2D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E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A920E1"/>
    <w:multiLevelType w:val="hybridMultilevel"/>
    <w:tmpl w:val="5DC22E9E"/>
    <w:lvl w:ilvl="0" w:tplc="C682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6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EC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00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4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8F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B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706BD6"/>
    <w:multiLevelType w:val="hybridMultilevel"/>
    <w:tmpl w:val="8A5C790E"/>
    <w:lvl w:ilvl="0" w:tplc="77C07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0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24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D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0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0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0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25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1F1E63"/>
    <w:multiLevelType w:val="hybridMultilevel"/>
    <w:tmpl w:val="DC8699E6"/>
    <w:lvl w:ilvl="0" w:tplc="8E387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2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C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E1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F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02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80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8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C304A0"/>
    <w:multiLevelType w:val="hybridMultilevel"/>
    <w:tmpl w:val="1AF8ED52"/>
    <w:lvl w:ilvl="0" w:tplc="1D968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C0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835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429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818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A27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E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4B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4C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1D0D79"/>
    <w:multiLevelType w:val="hybridMultilevel"/>
    <w:tmpl w:val="2DB00D44"/>
    <w:lvl w:ilvl="0" w:tplc="4392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2B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04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9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02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22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43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E9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3E"/>
    <w:rsid w:val="00024CE9"/>
    <w:rsid w:val="00081AA1"/>
    <w:rsid w:val="000A564C"/>
    <w:rsid w:val="001C59D2"/>
    <w:rsid w:val="001C6561"/>
    <w:rsid w:val="00220321"/>
    <w:rsid w:val="00360BF1"/>
    <w:rsid w:val="00464C70"/>
    <w:rsid w:val="004C12B4"/>
    <w:rsid w:val="00505514"/>
    <w:rsid w:val="005349CA"/>
    <w:rsid w:val="005C183B"/>
    <w:rsid w:val="00782935"/>
    <w:rsid w:val="0097693E"/>
    <w:rsid w:val="009C3D1C"/>
    <w:rsid w:val="00B636AC"/>
    <w:rsid w:val="00BE2388"/>
    <w:rsid w:val="00C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935"/>
    <w:rPr>
      <w:color w:val="0000FF"/>
      <w:u w:val="single"/>
    </w:rPr>
  </w:style>
  <w:style w:type="table" w:styleId="a8">
    <w:name w:val="Table Grid"/>
    <w:basedOn w:val="a1"/>
    <w:uiPriority w:val="59"/>
    <w:rsid w:val="00BE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1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935"/>
    <w:rPr>
      <w:color w:val="0000FF"/>
      <w:u w:val="single"/>
    </w:rPr>
  </w:style>
  <w:style w:type="table" w:styleId="a8">
    <w:name w:val="Table Grid"/>
    <w:basedOn w:val="a1"/>
    <w:uiPriority w:val="59"/>
    <w:rsid w:val="00BE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5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9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du-lider.ru/tag/ikt/" TargetMode="External"/><Relationship Id="rId18" Type="http://schemas.openxmlformats.org/officeDocument/2006/relationships/hyperlink" Target="http://www.belpc.ru/krirpo/index.php%5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relarn.ru/conf/conf2004/section3/3_1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edu-lider.ru/tag/c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0C30-C64B-4D11-8862-90969BCE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13</cp:revision>
  <dcterms:created xsi:type="dcterms:W3CDTF">2020-10-18T13:45:00Z</dcterms:created>
  <dcterms:modified xsi:type="dcterms:W3CDTF">2020-10-18T17:20:00Z</dcterms:modified>
</cp:coreProperties>
</file>