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CE" w:rsidRPr="00F04FCE" w:rsidRDefault="00F04FCE" w:rsidP="00F04FCE">
      <w:pPr>
        <w:spacing w:before="280" w:after="280"/>
        <w:jc w:val="center"/>
        <w:rPr>
          <w:rFonts w:ascii="Times New Roman" w:eastAsia="Calibri" w:hAnsi="Times New Roman" w:cs="Times New Roman"/>
          <w:b/>
          <w:color w:val="252525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color w:val="252525"/>
          <w:sz w:val="28"/>
          <w:szCs w:val="28"/>
        </w:rPr>
        <w:t>Пояснительная записка</w:t>
      </w:r>
    </w:p>
    <w:p w:rsidR="00F04FCE" w:rsidRPr="00F04FCE" w:rsidRDefault="00F04FCE" w:rsidP="00F04FCE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курса внеурочной деятельности «Вдохновение»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основного общего образования с учетом Концепции преподавания русского языка и литературы в Российской Федерации,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:rsidR="00F04FCE" w:rsidRPr="00F04FCE" w:rsidRDefault="00F04FCE" w:rsidP="00F04FCE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04FCE" w:rsidRPr="00F04FCE" w:rsidRDefault="00F04FCE" w:rsidP="00F04FCE">
      <w:pPr>
        <w:autoSpaceDE w:val="0"/>
        <w:autoSpaceDN w:val="0"/>
        <w:adjustRightInd w:val="0"/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Цель курса: </w:t>
      </w:r>
      <w:r w:rsidRPr="00F04FCE">
        <w:rPr>
          <w:rFonts w:ascii="Times New Roman" w:eastAsia="Calibri" w:hAnsi="Times New Roman" w:cs="Times New Roman"/>
          <w:sz w:val="28"/>
          <w:szCs w:val="28"/>
        </w:rPr>
        <w:t>формирование умения у обучающихся создавать собственные тексты разных типов и жанров посредством проектно-творческой деятельности, включающей анализ образцов, практические упражнения, коллективное взаимодействие и рефлексию.</w:t>
      </w:r>
    </w:p>
    <w:p w:rsidR="00F04FCE" w:rsidRPr="00F04FCE" w:rsidRDefault="00F04FCE" w:rsidP="00F04FCE">
      <w:pPr>
        <w:autoSpaceDE w:val="0"/>
        <w:autoSpaceDN w:val="0"/>
        <w:adjustRightInd w:val="0"/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Формировать у обучающихся умения генерировать оригинальные идеи и нестандартные решения в процессе создания текстов;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Развивать воображение и фантазию обучающихся через работу с различными жанрами и темами сочинений;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Развивать навыки грамотного написания, структурирования текстов;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Обучать анализу и оценке литературных произведений и собственных текстов;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Пополнять активный словарный запас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4FCE" w:rsidRPr="00F04FCE" w:rsidRDefault="00F04FCE" w:rsidP="00F04FCE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Повышать мотивацию к чтению и созданию текстов.</w:t>
      </w:r>
    </w:p>
    <w:p w:rsidR="00F04FCE" w:rsidRPr="00F04FCE" w:rsidRDefault="00F04FCE" w:rsidP="00F04FCE">
      <w:pPr>
        <w:autoSpaceDE w:val="0"/>
        <w:autoSpaceDN w:val="0"/>
        <w:adjustRightInd w:val="0"/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before="280" w:after="28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Учебный курс предназначен для обучающихся 6–9-х классов. Срок реализации программы – 1 учебный год (рассчитан на 1 час в неделю/33 часа в год).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Путешествие в мир сочинений: что нас </w:t>
      </w:r>
      <w:proofErr w:type="spellStart"/>
      <w:r w:rsidRPr="00F04FCE">
        <w:rPr>
          <w:rFonts w:ascii="Times New Roman" w:eastAsia="Calibri" w:hAnsi="Times New Roman" w:cs="Times New Roman"/>
          <w:b/>
          <w:sz w:val="28"/>
          <w:szCs w:val="28"/>
        </w:rPr>
        <w:t>ждет</w:t>
      </w:r>
      <w:proofErr w:type="gramStart"/>
      <w:r w:rsidRPr="00F04FCE"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Pr="00F04FCE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>накомство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с содержанием курса, особенностями занятий. Целеполагание.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Тема и основная мысль сочинения. </w:t>
      </w:r>
      <w:r w:rsidRPr="00F04FCE">
        <w:rPr>
          <w:rFonts w:ascii="Times New Roman" w:eastAsia="Calibri" w:hAnsi="Times New Roman" w:cs="Times New Roman"/>
          <w:sz w:val="28"/>
          <w:szCs w:val="28"/>
        </w:rPr>
        <w:t>Тема сочинения и основная мысль сочинения. Способы формулирования темы. Широкие и узкие темы. Анализ сочинения.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Библиография и аннотация. </w:t>
      </w:r>
      <w:r w:rsidRPr="00F04FCE">
        <w:rPr>
          <w:rFonts w:ascii="Times New Roman" w:eastAsia="Calibri" w:hAnsi="Times New Roman" w:cs="Times New Roman"/>
          <w:sz w:val="28"/>
          <w:szCs w:val="28"/>
        </w:rPr>
        <w:t>Справочный аппарат книги: выходные данные, библиография и аннотация.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Реклама. 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Реклама. Виды рекламы. Особенности рекламных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текстов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>оставление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собственных рекламных текстов.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Рассказ.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Жанровое своеобразие рассказа. Композиция рассказа. Написание рассказа по данному началу. 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Особенности занятий. Знакомство с критериями оценки сочинений.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Сказка.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Жанровые особенности сказки. Структурно-композиционные элементы. Ключевые компоненты сказки. Создание собственной сказки.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Подражание. </w:t>
      </w:r>
      <w:r w:rsidRPr="00F04FCE">
        <w:rPr>
          <w:rFonts w:ascii="Times New Roman" w:eastAsia="Calibri" w:hAnsi="Times New Roman" w:cs="Times New Roman"/>
          <w:sz w:val="28"/>
          <w:szCs w:val="28"/>
        </w:rPr>
        <w:t>Стилистические и композиционные приемы в отрывках из произведений Стивена Кинга. Написание рассказа-подражания.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Письмо. </w:t>
      </w:r>
      <w:r w:rsidRPr="00F04FCE">
        <w:rPr>
          <w:rFonts w:ascii="Times New Roman" w:eastAsia="Calibri" w:hAnsi="Times New Roman" w:cs="Times New Roman"/>
          <w:sz w:val="28"/>
          <w:szCs w:val="28"/>
        </w:rPr>
        <w:t>Стилистические особенности письма А.П. Чехова и письма, адресованного А.П. Чехову. Структурные элементы письма. Написание письма литературному герою от лица другого литературного героя.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Сновидение. </w:t>
      </w:r>
      <w:r w:rsidRPr="00F04FCE">
        <w:rPr>
          <w:rFonts w:ascii="Times New Roman" w:eastAsia="Calibri" w:hAnsi="Times New Roman" w:cs="Times New Roman"/>
          <w:sz w:val="28"/>
          <w:szCs w:val="28"/>
        </w:rPr>
        <w:t>Сны литературных героев, их роль в художественных произведениях. Структура сочинения-сновидения. Написание сочинения-сновидения.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Интервью.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Особенности жанра интервью. Написание интервью по роману А.С. Пушкина «Дубровский».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Репортаж.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Жанровые особенности репортажа. Написание репортажа по русской народной сказке «Репка».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Дневник.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Жанровые особенности дневниковых записей. Написание сочинения-дневника от лица литературного героя.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Заочная экскурсия.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Анализ отрывка новеллы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О.Генри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«Дары волхвов». Написание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сочинения-заочной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экскурсии.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Путевые заметки.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Анализ отрывка из «Путевых заметок» М.А. Булгакова. Написание путевых заметок.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Портретный очерк.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Жанровое своеобразие портретного очерка. Структура портретного очерка. Написание портретного очерка друга.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Эссе.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Эссе. Особенности жанра. Структурные элементы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эссе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>собенности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аргументации. Написание эссе по басне И.А. Крылова.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Притча.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Особенности жанра притчи. Написание сочинения-притчи.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Свободное письмо. </w:t>
      </w:r>
      <w:r w:rsidRPr="00F04FCE">
        <w:rPr>
          <w:rFonts w:ascii="Times New Roman" w:eastAsia="Calibri" w:hAnsi="Times New Roman" w:cs="Times New Roman"/>
          <w:sz w:val="28"/>
          <w:szCs w:val="28"/>
        </w:rPr>
        <w:t>Написание свободного сочинения в выбранном самостоятельно жанре.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 xml:space="preserve">Путь к совершенству.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>.  Работа над ошибками.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color w:val="262626"/>
          <w:sz w:val="28"/>
          <w:szCs w:val="28"/>
        </w:rPr>
        <w:t xml:space="preserve">Итоги путешествия в мир сочинений: чему мы научились. </w:t>
      </w:r>
      <w:r w:rsidRPr="00F04FCE">
        <w:rPr>
          <w:rFonts w:ascii="Times New Roman" w:eastAsia="Calibri" w:hAnsi="Times New Roman" w:cs="Times New Roman"/>
          <w:color w:val="262626"/>
          <w:sz w:val="28"/>
          <w:szCs w:val="28"/>
        </w:rPr>
        <w:t>Подведение итогов. Рефлексия.</w:t>
      </w:r>
    </w:p>
    <w:p w:rsidR="00F04FCE" w:rsidRPr="00F04FCE" w:rsidRDefault="00F04FCE" w:rsidP="00F04FCE">
      <w:pPr>
        <w:tabs>
          <w:tab w:val="left" w:pos="1500"/>
          <w:tab w:val="center" w:pos="5037"/>
        </w:tabs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FCE" w:rsidRPr="00F04FCE" w:rsidRDefault="00F04FCE" w:rsidP="00F04FCE">
      <w:pPr>
        <w:spacing w:before="280" w:after="280"/>
        <w:ind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курса внеурочной деятельности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Занятия в рамках программы направлены на обеспечение достижения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личностных,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и предметных образовательных результатов. 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гражданского воспитания: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уважение прав, свобод и законных интересов других людей; неприятие любых форм экстремизма, дискриминации; представление об основных правах, свободах и обязанностях гражданина, социальных нормах и правилах межличностных отношений в обществе; готовность к разнообразной совместной деятельности, стремление к взаимопониманию и взаимопомощи. 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патриотического воспитания: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 к науке, искусству; уважение к историческому и природному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наследию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.</w:t>
      </w:r>
      <w:r w:rsidRPr="00F04FCE">
        <w:rPr>
          <w:rFonts w:ascii="Times New Roman" w:eastAsia="Calibri" w:hAnsi="Times New Roman" w:cs="Times New Roman"/>
          <w:i/>
          <w:sz w:val="28"/>
          <w:szCs w:val="28"/>
        </w:rPr>
        <w:t>В</w:t>
      </w:r>
      <w:proofErr w:type="spellEnd"/>
      <w:proofErr w:type="gramEnd"/>
      <w:r w:rsidRPr="00F04FCE">
        <w:rPr>
          <w:rFonts w:ascii="Times New Roman" w:eastAsia="Calibri" w:hAnsi="Times New Roman" w:cs="Times New Roman"/>
          <w:i/>
          <w:sz w:val="28"/>
          <w:szCs w:val="28"/>
        </w:rPr>
        <w:t xml:space="preserve"> сфере духовно-нравственного воспитания: </w:t>
      </w:r>
      <w:r w:rsidRPr="00F04FCE">
        <w:rPr>
          <w:rFonts w:ascii="Times New Roman" w:eastAsia="Calibri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 xml:space="preserve">В сфере эстетического воспитания: </w:t>
      </w:r>
      <w:r w:rsidRPr="00F04FCE">
        <w:rPr>
          <w:rFonts w:ascii="Times New Roman" w:eastAsia="Calibri" w:hAnsi="Times New Roman" w:cs="Times New Roman"/>
          <w:sz w:val="28"/>
          <w:szCs w:val="28"/>
        </w:rPr>
        <w:t>восприимчивость к литературе как виду искусства, традициям и творчеству своего и других народов, понимание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искусства. 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физического воспитания: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осознание ценности жизни;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 xml:space="preserve">В сфере трудового воспитания: </w:t>
      </w:r>
      <w:r w:rsidRPr="00F04FCE">
        <w:rPr>
          <w:rFonts w:ascii="Times New Roman" w:eastAsia="Calibri" w:hAnsi="Times New Roman" w:cs="Times New Roman"/>
          <w:sz w:val="28"/>
          <w:szCs w:val="28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ценности научного познания: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ориентация в деятельности на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установка на осмысление опыта, и стремление совершенствовать пути достижения индивидуального и коллективного благополучия.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овладения познавательными универсальными учебными действиями: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использовать вопросы как исследовательский инструмент познания; выбирать, анализировать, систематизировать и интерпретировать информацию различных видов и форм представления; находить аргументы (подтверждающие или опровергающие одну и ту же идею, версию); систематизировать информацию.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 xml:space="preserve">В сфере овладения коммуникативными универсальными учебными действиями: 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lastRenderedPageBreak/>
        <w:t>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>В сфере овладения регулятивными универсальными учебными действиями: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самомотивации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и рефлексии; объяснять причины достижения (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недостижения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  <w:proofErr w:type="gramEnd"/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4FCE">
        <w:rPr>
          <w:rFonts w:ascii="Times New Roman" w:eastAsia="Calibri" w:hAnsi="Times New Roman" w:cs="Times New Roman"/>
          <w:i/>
          <w:sz w:val="28"/>
          <w:szCs w:val="28"/>
        </w:rPr>
        <w:t>Русский язык:</w:t>
      </w:r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и письменных монологических высказываний (текстов различных жанров)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i/>
          <w:sz w:val="28"/>
          <w:szCs w:val="28"/>
        </w:rPr>
        <w:t xml:space="preserve">Литература: </w:t>
      </w:r>
      <w:r w:rsidRPr="00F04FCE">
        <w:rPr>
          <w:rFonts w:ascii="Times New Roman" w:eastAsia="Calibri" w:hAnsi="Times New Roman" w:cs="Times New Roman"/>
          <w:sz w:val="28"/>
          <w:szCs w:val="28"/>
        </w:rPr>
        <w:t>понимание духовно-нравственной и культурной ценности литературы и её роли в формировании гражданственности и патриотизма;</w:t>
      </w: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spacing w:after="0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4F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понимание специфики литературы как вида искусства; </w:t>
      </w:r>
      <w:proofErr w:type="spellStart"/>
      <w:r w:rsidRPr="00F04FCE">
        <w:rPr>
          <w:rFonts w:ascii="Times New Roman" w:eastAsia="Calibri" w:hAnsi="Times New Roman" w:cs="Times New Roman"/>
          <w:sz w:val="28"/>
          <w:szCs w:val="28"/>
        </w:rPr>
        <w:t>овладениеумениями</w:t>
      </w:r>
      <w:proofErr w:type="spell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 xml:space="preserve"> развитие умений участвовать в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F04FCE">
        <w:rPr>
          <w:rFonts w:ascii="Times New Roman" w:eastAsia="Calibri" w:hAnsi="Times New Roman" w:cs="Times New Roman"/>
          <w:sz w:val="28"/>
          <w:szCs w:val="28"/>
        </w:rPr>
        <w:t>прочитанному</w:t>
      </w:r>
      <w:proofErr w:type="gramEnd"/>
      <w:r w:rsidRPr="00F04F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04FCE" w:rsidRPr="00F04FCE" w:rsidRDefault="00F04FCE" w:rsidP="00F04FCE">
      <w:pPr>
        <w:spacing w:before="280" w:after="280"/>
        <w:ind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FCE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9431" w:type="dxa"/>
        <w:tblLayout w:type="fixed"/>
        <w:tblLook w:val="0600" w:firstRow="0" w:lastRow="0" w:firstColumn="0" w:lastColumn="0" w:noHBand="1" w:noVBand="1"/>
      </w:tblPr>
      <w:tblGrid>
        <w:gridCol w:w="642"/>
        <w:gridCol w:w="6096"/>
        <w:gridCol w:w="2693"/>
      </w:tblGrid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04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04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мир сочинений: что нас ждет?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Тема и основная мысль сочинения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Библиография и аннотация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Подражание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Сновидение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Репортаж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Дневник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Заочная экскурсия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Путевые заметки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Портретный очерк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Притча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Свободное письмо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Путь к совершенству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04FCE" w:rsidRPr="00F04FCE" w:rsidTr="003F322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spacing w:line="36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Итоги путешествия в мир сочинений: чему мы научились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FCE" w:rsidRPr="00F04FCE" w:rsidRDefault="00F04FCE" w:rsidP="00F04FCE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4F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04FCE" w:rsidRPr="00F04FCE" w:rsidRDefault="00F04FCE" w:rsidP="00F04FCE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FCE" w:rsidRPr="00F04FCE" w:rsidRDefault="00F04FCE" w:rsidP="00F04FCE">
      <w:pPr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0EAC" w:rsidRDefault="00910EAC">
      <w:bookmarkStart w:id="0" w:name="_GoBack"/>
      <w:bookmarkEnd w:id="0"/>
    </w:p>
    <w:sectPr w:rsidR="00910EAC" w:rsidSect="005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24C08"/>
    <w:multiLevelType w:val="hybridMultilevel"/>
    <w:tmpl w:val="3C202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CE"/>
    <w:rsid w:val="00910EAC"/>
    <w:rsid w:val="00F0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2026-02-28T05:35:00Z</dcterms:created>
  <dcterms:modified xsi:type="dcterms:W3CDTF">2026-02-28T05:36:00Z</dcterms:modified>
</cp:coreProperties>
</file>