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F7" w:rsidRPr="00F03239" w:rsidRDefault="000F08D7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 xml:space="preserve"> </w:t>
      </w:r>
      <w:r w:rsidR="000305C5" w:rsidRPr="00F03239">
        <w:rPr>
          <w:rFonts w:ascii="Times New Roman" w:hAnsi="Times New Roman" w:cs="Times New Roman"/>
          <w:sz w:val="28"/>
          <w:szCs w:val="28"/>
        </w:rPr>
        <w:t>Комитет образования администрации МР «</w:t>
      </w:r>
      <w:proofErr w:type="spellStart"/>
      <w:r w:rsidR="000305C5" w:rsidRPr="00F03239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  <w:r w:rsidR="000305C5" w:rsidRPr="00F03239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C3CF7" w:rsidRPr="00F03239" w:rsidRDefault="000305C5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F03239">
        <w:rPr>
          <w:rFonts w:ascii="Times New Roman" w:hAnsi="Times New Roman" w:cs="Times New Roman"/>
          <w:sz w:val="28"/>
          <w:szCs w:val="28"/>
        </w:rPr>
        <w:t>Шилкинская</w:t>
      </w:r>
      <w:proofErr w:type="spellEnd"/>
      <w:r w:rsidRPr="00F0323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</w:t>
      </w:r>
    </w:p>
    <w:p w:rsidR="009C3CF7" w:rsidRPr="00F03239" w:rsidRDefault="009C3CF7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13F" w:rsidRPr="00F03239" w:rsidRDefault="00DF513F" w:rsidP="00030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DF51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>АВТОРСКИЙ ПРОЕКТ</w:t>
      </w:r>
    </w:p>
    <w:p w:rsidR="009C3CF7" w:rsidRPr="00F03239" w:rsidRDefault="009C3CF7" w:rsidP="00DF51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>«</w:t>
      </w:r>
      <w:r w:rsidR="00DF513F" w:rsidRPr="00F03239">
        <w:rPr>
          <w:rFonts w:ascii="Times New Roman" w:hAnsi="Times New Roman" w:cs="Times New Roman"/>
          <w:sz w:val="28"/>
          <w:szCs w:val="28"/>
        </w:rPr>
        <w:t>Растим будущих инженеров</w:t>
      </w:r>
      <w:r w:rsidR="007B0744">
        <w:rPr>
          <w:rFonts w:ascii="Times New Roman" w:hAnsi="Times New Roman" w:cs="Times New Roman"/>
          <w:sz w:val="28"/>
          <w:szCs w:val="28"/>
        </w:rPr>
        <w:t>: учим для страны, учим для индустрии</w:t>
      </w:r>
      <w:bookmarkStart w:id="0" w:name="_GoBack"/>
      <w:bookmarkEnd w:id="0"/>
      <w:r w:rsidRPr="00F03239">
        <w:rPr>
          <w:rFonts w:ascii="Times New Roman" w:hAnsi="Times New Roman" w:cs="Times New Roman"/>
          <w:sz w:val="28"/>
          <w:szCs w:val="28"/>
        </w:rPr>
        <w:t>»</w:t>
      </w:r>
    </w:p>
    <w:p w:rsidR="009C3CF7" w:rsidRPr="00F03239" w:rsidRDefault="009C3CF7" w:rsidP="00DF51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>Сроки реализации: 20</w:t>
      </w:r>
      <w:r w:rsidR="00DF513F" w:rsidRPr="00F03239">
        <w:rPr>
          <w:rFonts w:ascii="Times New Roman" w:hAnsi="Times New Roman" w:cs="Times New Roman"/>
          <w:sz w:val="28"/>
          <w:szCs w:val="28"/>
        </w:rPr>
        <w:t>25</w:t>
      </w:r>
      <w:r w:rsidRPr="00F03239">
        <w:rPr>
          <w:rFonts w:ascii="Times New Roman" w:hAnsi="Times New Roman" w:cs="Times New Roman"/>
          <w:sz w:val="28"/>
          <w:szCs w:val="28"/>
        </w:rPr>
        <w:t>–20</w:t>
      </w:r>
      <w:r w:rsidR="00DF513F" w:rsidRPr="00F03239">
        <w:rPr>
          <w:rFonts w:ascii="Times New Roman" w:hAnsi="Times New Roman" w:cs="Times New Roman"/>
          <w:sz w:val="28"/>
          <w:szCs w:val="28"/>
        </w:rPr>
        <w:t>30 гг.</w:t>
      </w: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3B4" w:rsidRPr="00F03239" w:rsidRDefault="00BB73B4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3B4" w:rsidRPr="00F03239" w:rsidRDefault="00BB73B4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3B4" w:rsidRPr="00F03239" w:rsidRDefault="00BB73B4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3B4" w:rsidRPr="00F03239" w:rsidRDefault="00BB73B4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 xml:space="preserve">Руководитель авторского проекта: </w:t>
      </w:r>
    </w:p>
    <w:p w:rsidR="009C3CF7" w:rsidRPr="00F03239" w:rsidRDefault="00DF513F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03239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Pr="00F03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239">
        <w:rPr>
          <w:rFonts w:ascii="Times New Roman" w:hAnsi="Times New Roman" w:cs="Times New Roman"/>
          <w:sz w:val="28"/>
          <w:szCs w:val="28"/>
        </w:rPr>
        <w:t>Гэлэгма</w:t>
      </w:r>
      <w:proofErr w:type="spellEnd"/>
      <w:r w:rsidRPr="00F03239">
        <w:rPr>
          <w:rFonts w:ascii="Times New Roman" w:hAnsi="Times New Roman" w:cs="Times New Roman"/>
          <w:sz w:val="28"/>
          <w:szCs w:val="28"/>
        </w:rPr>
        <w:t xml:space="preserve"> Викторовна</w:t>
      </w:r>
    </w:p>
    <w:p w:rsidR="00DF513F" w:rsidRPr="00F03239" w:rsidRDefault="00DF513F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>учитель информатики, математики</w:t>
      </w:r>
    </w:p>
    <w:p w:rsidR="009C3CF7" w:rsidRPr="00F03239" w:rsidRDefault="009C3CF7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 xml:space="preserve"> тел.: </w:t>
      </w:r>
      <w:r w:rsidR="00DF513F" w:rsidRPr="00F03239">
        <w:rPr>
          <w:rFonts w:ascii="Times New Roman" w:hAnsi="Times New Roman" w:cs="Times New Roman"/>
          <w:sz w:val="28"/>
          <w:szCs w:val="28"/>
        </w:rPr>
        <w:t>89144641043</w:t>
      </w:r>
    </w:p>
    <w:p w:rsidR="009C3CF7" w:rsidRPr="00F03239" w:rsidRDefault="009C3CF7" w:rsidP="000305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03239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F0323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F513F" w:rsidRPr="00F03239">
        <w:rPr>
          <w:rFonts w:ascii="Times New Roman" w:hAnsi="Times New Roman" w:cs="Times New Roman"/>
          <w:sz w:val="28"/>
          <w:szCs w:val="28"/>
        </w:rPr>
        <w:t xml:space="preserve">: </w:t>
      </w:r>
      <w:r w:rsidR="00DF513F" w:rsidRPr="00F03239">
        <w:rPr>
          <w:rFonts w:ascii="Times New Roman" w:hAnsi="Times New Roman" w:cs="Times New Roman"/>
          <w:sz w:val="28"/>
          <w:szCs w:val="28"/>
          <w:lang w:val="en-US"/>
        </w:rPr>
        <w:t>givara@yandex.ru</w:t>
      </w: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br w:type="page"/>
      </w:r>
    </w:p>
    <w:p w:rsidR="009C3CF7" w:rsidRPr="00F03239" w:rsidRDefault="009C3CF7" w:rsidP="00B9591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3239">
        <w:rPr>
          <w:rFonts w:ascii="Times New Roman" w:hAnsi="Times New Roman" w:cs="Times New Roman"/>
          <w:sz w:val="28"/>
          <w:szCs w:val="28"/>
        </w:rPr>
        <w:lastRenderedPageBreak/>
        <w:t xml:space="preserve">Паспорт проекта </w:t>
      </w:r>
    </w:p>
    <w:p w:rsidR="00B95918" w:rsidRPr="00F03239" w:rsidRDefault="00B95918" w:rsidP="00B9591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3"/>
        <w:gridCol w:w="5722"/>
      </w:tblGrid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81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334A" w:rsidRPr="00F03239">
              <w:rPr>
                <w:rFonts w:ascii="Times New Roman" w:hAnsi="Times New Roman" w:cs="Times New Roman"/>
                <w:sz w:val="28"/>
                <w:szCs w:val="28"/>
              </w:rPr>
              <w:t>Растим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инженеров</w:t>
            </w:r>
            <w:r w:rsidR="0093334A" w:rsidRPr="00F03239">
              <w:rPr>
                <w:rFonts w:ascii="Times New Roman" w:hAnsi="Times New Roman" w:cs="Times New Roman"/>
                <w:sz w:val="28"/>
                <w:szCs w:val="28"/>
              </w:rPr>
              <w:t>: учим для страны, учим для индустрии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Авторы проекта</w:t>
            </w:r>
          </w:p>
        </w:tc>
        <w:tc>
          <w:tcPr>
            <w:tcW w:w="5812" w:type="dxa"/>
          </w:tcPr>
          <w:p w:rsidR="00B95918" w:rsidRPr="00F03239" w:rsidRDefault="00971859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Г.В., Блохин В.В.,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Бухтоярова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812" w:type="dxa"/>
          </w:tcPr>
          <w:p w:rsidR="000B5938" w:rsidRPr="00F03239" w:rsidRDefault="000B593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инновационной образовательной среды, способствующей повышению качества естественнонаучного образования МОУ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Шилкинская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СОШ №1, совершенствованию естественнонаучной грамотности обучающихся при освоении программ начального, основного общего, профильного образования и углублённого изучения предметов естественнонаучного цикла, а так же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</w:t>
            </w:r>
          </w:p>
          <w:p w:rsidR="00B95918" w:rsidRPr="00F03239" w:rsidRDefault="002B1FE4" w:rsidP="000B59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 обучающихся интереса </w:t>
            </w:r>
            <w:r w:rsidR="0093334A" w:rsidRPr="00F03239">
              <w:rPr>
                <w:rFonts w:ascii="Times New Roman" w:hAnsi="Times New Roman" w:cs="Times New Roman"/>
                <w:sz w:val="28"/>
                <w:szCs w:val="28"/>
              </w:rPr>
              <w:t>к инженерным профессиям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812" w:type="dxa"/>
          </w:tcPr>
          <w:p w:rsidR="006C7186" w:rsidRPr="00F03239" w:rsidRDefault="000B5938" w:rsidP="000B5938">
            <w:pPr>
              <w:pStyle w:val="a5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внутренней системы взаимодействия общего, дополнительного образования; - сформировать эффективную модель сетевого взаимодействия с ВУЗами и предприятиями для осуществления профессиональных проб на их базах по направлению «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расшколивания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» и расширения возможностей дополнительных образовательных программ естественнонаучного цикла; - создать систему обеспечения практической деятельности обучающихся, учитывающую проведение практических и исследовательских работ на урочных и внеурочных занятиях, а также индивидуальных учебных маршрутах по предметам естественнонаучного цикла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812" w:type="dxa"/>
          </w:tcPr>
          <w:p w:rsidR="00B95918" w:rsidRPr="00F03239" w:rsidRDefault="002B1FE4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2025-2030гг.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Исполнители проекта</w:t>
            </w:r>
          </w:p>
        </w:tc>
        <w:tc>
          <w:tcPr>
            <w:tcW w:w="5812" w:type="dxa"/>
          </w:tcPr>
          <w:p w:rsidR="00B95918" w:rsidRPr="00F03239" w:rsidRDefault="0063663C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Учителя физики, математики, биологии, химии, информатики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812" w:type="dxa"/>
          </w:tcPr>
          <w:p w:rsidR="00B95918" w:rsidRPr="00F03239" w:rsidRDefault="000B593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процесса, социальные партнеры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812" w:type="dxa"/>
          </w:tcPr>
          <w:p w:rsidR="008926A3" w:rsidRPr="00F03239" w:rsidRDefault="008926A3" w:rsidP="0089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числа обучающихся, зачисленных на дополнительные 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общеобразовательные программы центра образования «Точка роста»; </w:t>
            </w:r>
          </w:p>
          <w:p w:rsidR="008926A3" w:rsidRPr="00F03239" w:rsidRDefault="008926A3" w:rsidP="0089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 проведение практических занятий по направлению «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расшколивание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» на базах местных ВУЗов,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Кванториумах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3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-кубов; </w:t>
            </w:r>
          </w:p>
          <w:p w:rsidR="008926A3" w:rsidRPr="00F03239" w:rsidRDefault="008926A3" w:rsidP="0089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числа участников и победителей олимпиад, конференций различного уровня; </w:t>
            </w:r>
          </w:p>
          <w:p w:rsidR="00B95918" w:rsidRPr="00F03239" w:rsidRDefault="008926A3" w:rsidP="0089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 показатель выше среднего при сдаче ГИА;</w:t>
            </w:r>
          </w:p>
          <w:p w:rsidR="008926A3" w:rsidRPr="00F03239" w:rsidRDefault="008926A3" w:rsidP="0089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-поступление на технические, инженерные,  специальности естественнонаучного направления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эффективности</w:t>
            </w:r>
          </w:p>
        </w:tc>
        <w:tc>
          <w:tcPr>
            <w:tcW w:w="5812" w:type="dxa"/>
          </w:tcPr>
          <w:p w:rsidR="00B95918" w:rsidRPr="00F03239" w:rsidRDefault="00582AA3" w:rsidP="00582AA3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Позитивная динамика показателей качества обучения</w:t>
            </w:r>
          </w:p>
          <w:p w:rsidR="00582AA3" w:rsidRPr="00F03239" w:rsidRDefault="00582AA3" w:rsidP="00582AA3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Улучшение результативности участия в различных конкурсах, олимпиадах, конференциях по предметам естественнонаучного цикла</w:t>
            </w:r>
          </w:p>
          <w:p w:rsidR="00646187" w:rsidRPr="00F03239" w:rsidRDefault="00756FEB" w:rsidP="00582AA3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646187"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выпускников, </w:t>
            </w:r>
            <w:r w:rsidR="002610AF" w:rsidRPr="00F03239">
              <w:rPr>
                <w:rFonts w:ascii="Times New Roman" w:hAnsi="Times New Roman" w:cs="Times New Roman"/>
                <w:sz w:val="28"/>
                <w:szCs w:val="28"/>
              </w:rPr>
              <w:t>поступающих на инженерные специальности</w:t>
            </w:r>
          </w:p>
          <w:p w:rsidR="00756FEB" w:rsidRPr="00F03239" w:rsidRDefault="00756FEB" w:rsidP="00582AA3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Отсутствие проблем методического характера у педагогов по вопросам реализации программ</w:t>
            </w:r>
          </w:p>
          <w:p w:rsidR="00756FEB" w:rsidRPr="00F03239" w:rsidRDefault="00756FEB" w:rsidP="00582AA3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Рост уровня квалификации педагогов; высокая степень удовлетворенности собственной деятельностью; </w:t>
            </w:r>
          </w:p>
          <w:p w:rsidR="00756FEB" w:rsidRPr="00F03239" w:rsidRDefault="00756FEB" w:rsidP="00756FEB">
            <w:pPr>
              <w:pStyle w:val="a5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Рост количества проектов, мероприятий, инициированных учителями; рост числа педагогов, имеющих высшую категорию, научную степень и т.д.</w:t>
            </w:r>
          </w:p>
        </w:tc>
      </w:tr>
      <w:tr w:rsidR="00B95918" w:rsidRPr="00F03239" w:rsidTr="00BB73B4">
        <w:tc>
          <w:tcPr>
            <w:tcW w:w="2932" w:type="dxa"/>
          </w:tcPr>
          <w:p w:rsidR="00B95918" w:rsidRPr="00F03239" w:rsidRDefault="00B95918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</w:t>
            </w:r>
          </w:p>
        </w:tc>
        <w:tc>
          <w:tcPr>
            <w:tcW w:w="5812" w:type="dxa"/>
          </w:tcPr>
          <w:p w:rsidR="00B95918" w:rsidRPr="00F03239" w:rsidRDefault="0063663C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Отчеты: - на заседаниях методического объединения учителей естественно-научного цикла;</w:t>
            </w:r>
          </w:p>
          <w:p w:rsidR="0063663C" w:rsidRPr="00F03239" w:rsidRDefault="0063663C" w:rsidP="00B959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-на заседаниях научно-методического совета школы</w:t>
            </w:r>
          </w:p>
        </w:tc>
      </w:tr>
    </w:tbl>
    <w:p w:rsidR="00B95918" w:rsidRPr="00F03239" w:rsidRDefault="00B95918" w:rsidP="00B9591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918" w:rsidRPr="00F03239" w:rsidRDefault="00B95918" w:rsidP="00B9591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918" w:rsidRPr="00F03239" w:rsidRDefault="00B95918" w:rsidP="00B9591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BB73B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239">
        <w:rPr>
          <w:rFonts w:ascii="Times New Roman" w:hAnsi="Times New Roman" w:cs="Times New Roman"/>
          <w:sz w:val="28"/>
          <w:szCs w:val="28"/>
        </w:rPr>
        <w:t xml:space="preserve">Актуальность проекта </w:t>
      </w:r>
    </w:p>
    <w:p w:rsidR="006C7186" w:rsidRPr="00F03239" w:rsidRDefault="006C7186" w:rsidP="0049663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Профессия инженера </w:t>
      </w:r>
      <w:r w:rsidR="007B0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0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стаётся актуальной</w:t>
      </w: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Это связано с тем, что научно-технологическое развитие — один из приоритетов России, а в условиях курса на высокотехнологичную экономику и </w:t>
      </w:r>
      <w:proofErr w:type="spellStart"/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импортозамещение</w:t>
      </w:r>
      <w:proofErr w:type="spellEnd"/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повышается спрос на квалифицированные инженерные кадры.  </w:t>
      </w:r>
    </w:p>
    <w:p w:rsidR="006C7186" w:rsidRPr="00F03239" w:rsidRDefault="006C7186" w:rsidP="0049663D">
      <w:pPr>
        <w:shd w:val="clear" w:color="auto" w:fill="FFFFFF"/>
        <w:spacing w:after="12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факторы, которые способствуют востребованности инженеров:</w:t>
      </w:r>
    </w:p>
    <w:p w:rsidR="006C7186" w:rsidRPr="00F03239" w:rsidRDefault="006C7186" w:rsidP="006C7186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передовых технологий</w:t>
      </w: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Инженеры разрабатывают программное обеспечение, системы безопасности, автоматизируют производство и создают «умные» города.  </w:t>
      </w:r>
    </w:p>
    <w:p w:rsidR="006C7186" w:rsidRPr="00F03239" w:rsidRDefault="006C7186" w:rsidP="006C7186">
      <w:pPr>
        <w:numPr>
          <w:ilvl w:val="0"/>
          <w:numId w:val="5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Стабильность и карьерный рост</w:t>
      </w: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Инженерные специальности предлагают высокий доход и возможности для профессионального роста. </w:t>
      </w:r>
      <w:r w:rsidRPr="00F0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Нехватка квалифицированных специалистов</w:t>
      </w: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в России наблюдается дефицит специалистов в области высоких технологий, строительства и автоматизации, что стимулирует рост заработных плат и карьерных перспектив.  </w:t>
      </w:r>
    </w:p>
    <w:p w:rsidR="006C7186" w:rsidRPr="00F03239" w:rsidRDefault="006C7186" w:rsidP="0049663D">
      <w:pPr>
        <w:shd w:val="clear" w:color="auto" w:fill="FFFFFF"/>
        <w:spacing w:after="12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опроса ВЦИОМ от февраля 2025 года, инженерные специальности занимают второе место среди востребованных вакансий. Привлекательными сферами для таких специалистов являются обрабатывающая промышленность и торговля. </w:t>
      </w:r>
    </w:p>
    <w:p w:rsidR="006C7186" w:rsidRPr="00F03239" w:rsidRDefault="006C7186" w:rsidP="006C71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BB73B4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3239">
        <w:rPr>
          <w:rFonts w:ascii="Times New Roman" w:hAnsi="Times New Roman" w:cs="Times New Roman"/>
          <w:sz w:val="28"/>
          <w:szCs w:val="28"/>
        </w:rPr>
        <w:t>3</w:t>
      </w:r>
      <w:r w:rsidR="009C3CF7" w:rsidRPr="00F03239">
        <w:rPr>
          <w:rFonts w:ascii="Times New Roman" w:hAnsi="Times New Roman" w:cs="Times New Roman"/>
          <w:sz w:val="28"/>
          <w:szCs w:val="28"/>
        </w:rPr>
        <w:t>. План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2"/>
        <w:gridCol w:w="2754"/>
        <w:gridCol w:w="2372"/>
        <w:gridCol w:w="2367"/>
      </w:tblGrid>
      <w:tr w:rsidR="009C3CF7" w:rsidRPr="00F03239" w:rsidTr="00F03239">
        <w:tc>
          <w:tcPr>
            <w:tcW w:w="2060" w:type="dxa"/>
          </w:tcPr>
          <w:p w:rsidR="009C3CF7" w:rsidRPr="00F03239" w:rsidRDefault="009C3CF7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Сроки, этапы</w:t>
            </w:r>
          </w:p>
        </w:tc>
        <w:tc>
          <w:tcPr>
            <w:tcW w:w="2754" w:type="dxa"/>
          </w:tcPr>
          <w:p w:rsidR="009C3CF7" w:rsidRPr="00F03239" w:rsidRDefault="009C3CF7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2380" w:type="dxa"/>
          </w:tcPr>
          <w:p w:rsidR="009C3CF7" w:rsidRPr="00F03239" w:rsidRDefault="009C3CF7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77" w:type="dxa"/>
          </w:tcPr>
          <w:p w:rsidR="009C3CF7" w:rsidRPr="00F03239" w:rsidRDefault="009C3CF7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9C3CF7" w:rsidRPr="00F03239" w:rsidRDefault="009C3CF7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91E" w:rsidRPr="00F03239" w:rsidTr="00F03239">
        <w:tc>
          <w:tcPr>
            <w:tcW w:w="2060" w:type="dxa"/>
          </w:tcPr>
          <w:p w:rsidR="001D491E" w:rsidRPr="00F03239" w:rsidRDefault="001D491E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Сентябрь 2025 г. сентябрь 2030 г.</w:t>
            </w:r>
          </w:p>
        </w:tc>
        <w:tc>
          <w:tcPr>
            <w:tcW w:w="2754" w:type="dxa"/>
          </w:tcPr>
          <w:p w:rsidR="001D491E" w:rsidRPr="00F03239" w:rsidRDefault="001D491E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просветительская работа </w:t>
            </w:r>
          </w:p>
        </w:tc>
        <w:tc>
          <w:tcPr>
            <w:tcW w:w="2380" w:type="dxa"/>
          </w:tcPr>
          <w:p w:rsidR="001D491E" w:rsidRPr="00F03239" w:rsidRDefault="001D491E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Массовое просвещение о возможностях дополнительного образования на базе центра образования «Точка роста» школы</w:t>
            </w:r>
          </w:p>
        </w:tc>
        <w:tc>
          <w:tcPr>
            <w:tcW w:w="2377" w:type="dxa"/>
          </w:tcPr>
          <w:p w:rsidR="001D491E" w:rsidRPr="00F03239" w:rsidRDefault="001D491E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Увеличение числа зачисленных на программы дополнительного образования</w:t>
            </w:r>
          </w:p>
        </w:tc>
      </w:tr>
      <w:tr w:rsidR="00F03239" w:rsidRPr="00F03239" w:rsidTr="00F03239">
        <w:tc>
          <w:tcPr>
            <w:tcW w:w="2060" w:type="dxa"/>
          </w:tcPr>
          <w:p w:rsidR="00F03239" w:rsidRPr="00F03239" w:rsidRDefault="00F03239" w:rsidP="003F5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Сентябрь 2025 г. сентябрь 2030 г.</w:t>
            </w:r>
          </w:p>
        </w:tc>
        <w:tc>
          <w:tcPr>
            <w:tcW w:w="2754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постоянных практических и лабораторных занятий по физике, химии на базах  ВУЗов,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кванториумах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32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-кубах края</w:t>
            </w:r>
          </w:p>
        </w:tc>
        <w:tc>
          <w:tcPr>
            <w:tcW w:w="2380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с партнерами по направлению «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расшколивания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» (организация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профпроб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, практических и лабораторных занятий)</w:t>
            </w:r>
          </w:p>
        </w:tc>
        <w:tc>
          <w:tcPr>
            <w:tcW w:w="2377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классу из параллелей 5-9 классов проходят </w:t>
            </w:r>
            <w:proofErr w:type="spellStart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профпробы</w:t>
            </w:r>
            <w:proofErr w:type="spellEnd"/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 на базах лабораторий партнеров, в рамках практических занятий</w:t>
            </w:r>
          </w:p>
        </w:tc>
      </w:tr>
      <w:tr w:rsidR="00F03239" w:rsidRPr="00F03239" w:rsidTr="00F03239">
        <w:tc>
          <w:tcPr>
            <w:tcW w:w="2060" w:type="dxa"/>
          </w:tcPr>
          <w:p w:rsidR="00F03239" w:rsidRPr="00F03239" w:rsidRDefault="00F03239" w:rsidP="000C5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Сентябрь 2025 г. сентябрь 2030 г.</w:t>
            </w:r>
          </w:p>
        </w:tc>
        <w:tc>
          <w:tcPr>
            <w:tcW w:w="2754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охвата детей, за счет курсов пропедевтики по предметам </w:t>
            </w:r>
            <w:r w:rsidRPr="00F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естественнонаучного цикла</w:t>
            </w:r>
          </w:p>
        </w:tc>
        <w:tc>
          <w:tcPr>
            <w:tcW w:w="2380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Ранняя пропедевтика</w:t>
            </w:r>
          </w:p>
        </w:tc>
        <w:tc>
          <w:tcPr>
            <w:tcW w:w="2377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Охват до 30% обучающихся 1-4 классов</w:t>
            </w:r>
          </w:p>
        </w:tc>
      </w:tr>
      <w:tr w:rsidR="00F03239" w:rsidRPr="00F03239" w:rsidTr="00F03239">
        <w:tc>
          <w:tcPr>
            <w:tcW w:w="2060" w:type="dxa"/>
          </w:tcPr>
          <w:p w:rsidR="00F03239" w:rsidRPr="00F03239" w:rsidRDefault="00F03239" w:rsidP="000C5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2025 г- ноябрь 2030 г.</w:t>
            </w:r>
          </w:p>
          <w:p w:rsidR="00F03239" w:rsidRPr="00F03239" w:rsidRDefault="00F03239" w:rsidP="000C5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Июнь 2025-июнь 2030 г.</w:t>
            </w:r>
          </w:p>
        </w:tc>
        <w:tc>
          <w:tcPr>
            <w:tcW w:w="2754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Организация каникулярного отдыха и эколого-просветительского досуга</w:t>
            </w:r>
          </w:p>
        </w:tc>
        <w:tc>
          <w:tcPr>
            <w:tcW w:w="2380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 Межсезонный эколого- туристический поход</w:t>
            </w:r>
          </w:p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 Полевые практики по ботанике, зоологии, гидробиологии</w:t>
            </w:r>
          </w:p>
        </w:tc>
        <w:tc>
          <w:tcPr>
            <w:tcW w:w="2377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Натурализация знаний через практико ориентированные формы работы в полевых условиях</w:t>
            </w:r>
          </w:p>
        </w:tc>
      </w:tr>
      <w:tr w:rsidR="00F03239" w:rsidRPr="00F03239" w:rsidTr="00F03239">
        <w:tc>
          <w:tcPr>
            <w:tcW w:w="2060" w:type="dxa"/>
          </w:tcPr>
          <w:p w:rsidR="00F03239" w:rsidRPr="00F03239" w:rsidRDefault="00F03239" w:rsidP="000C5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Декабрь 2025-декабрь 2030 г.</w:t>
            </w:r>
          </w:p>
        </w:tc>
        <w:tc>
          <w:tcPr>
            <w:tcW w:w="2754" w:type="dxa"/>
          </w:tcPr>
          <w:p w:rsidR="00F03239" w:rsidRPr="00F03239" w:rsidRDefault="00F03239" w:rsidP="00A9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 и сопровождение одаренных и талантливых детей в области робототехники</w:t>
            </w:r>
          </w:p>
        </w:tc>
        <w:tc>
          <w:tcPr>
            <w:tcW w:w="2380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-Районные соревнования по робототехнике</w:t>
            </w:r>
          </w:p>
        </w:tc>
        <w:tc>
          <w:tcPr>
            <w:tcW w:w="2377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Организация муниципальных площадок для предъявления образовательных и проектных результатов, для возрастных групп, не входящих в олимпиадные конкурсы и соревнования</w:t>
            </w:r>
          </w:p>
        </w:tc>
      </w:tr>
      <w:tr w:rsidR="00F03239" w:rsidRPr="00F03239" w:rsidTr="00F03239">
        <w:tc>
          <w:tcPr>
            <w:tcW w:w="2060" w:type="dxa"/>
          </w:tcPr>
          <w:p w:rsidR="00F03239" w:rsidRPr="00F03239" w:rsidRDefault="00F03239" w:rsidP="002E4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Сентябрь 2025 г. сентябрь 2030 г.</w:t>
            </w:r>
          </w:p>
        </w:tc>
        <w:tc>
          <w:tcPr>
            <w:tcW w:w="2754" w:type="dxa"/>
          </w:tcPr>
          <w:p w:rsidR="00F03239" w:rsidRPr="00F03239" w:rsidRDefault="00F03239" w:rsidP="00A9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Утвердить перечень мероприятий для участия. Включение в план воспитательной работы.</w:t>
            </w:r>
          </w:p>
        </w:tc>
        <w:tc>
          <w:tcPr>
            <w:tcW w:w="2380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олимпиадах, выездных школах, НПК по профилю</w:t>
            </w:r>
          </w:p>
        </w:tc>
        <w:tc>
          <w:tcPr>
            <w:tcW w:w="2377" w:type="dxa"/>
          </w:tcPr>
          <w:p w:rsidR="00F03239" w:rsidRPr="00F03239" w:rsidRDefault="00F03239" w:rsidP="0003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39">
              <w:rPr>
                <w:rFonts w:ascii="Times New Roman" w:hAnsi="Times New Roman" w:cs="Times New Roman"/>
                <w:sz w:val="28"/>
                <w:szCs w:val="28"/>
              </w:rPr>
              <w:t>Увеличение числа победителей и призеров (7-9 классы; 10-11 классы) на 15%</w:t>
            </w:r>
          </w:p>
        </w:tc>
      </w:tr>
    </w:tbl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CF7" w:rsidRPr="00F03239" w:rsidRDefault="009C3CF7" w:rsidP="0003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3CF7" w:rsidRPr="00F0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FB4"/>
    <w:multiLevelType w:val="multilevel"/>
    <w:tmpl w:val="CF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813BB"/>
    <w:multiLevelType w:val="hybridMultilevel"/>
    <w:tmpl w:val="48FA3272"/>
    <w:lvl w:ilvl="0" w:tplc="ED4AE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B78"/>
    <w:multiLevelType w:val="hybridMultilevel"/>
    <w:tmpl w:val="B21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9412D"/>
    <w:multiLevelType w:val="hybridMultilevel"/>
    <w:tmpl w:val="41920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97B44"/>
    <w:multiLevelType w:val="hybridMultilevel"/>
    <w:tmpl w:val="F000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95BFF"/>
    <w:multiLevelType w:val="hybridMultilevel"/>
    <w:tmpl w:val="61D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F7"/>
    <w:rsid w:val="000305C5"/>
    <w:rsid w:val="00053111"/>
    <w:rsid w:val="000B5938"/>
    <w:rsid w:val="000E59C0"/>
    <w:rsid w:val="000F08D7"/>
    <w:rsid w:val="001D491E"/>
    <w:rsid w:val="002610AF"/>
    <w:rsid w:val="002B1FE4"/>
    <w:rsid w:val="00411819"/>
    <w:rsid w:val="0049663D"/>
    <w:rsid w:val="00582AA3"/>
    <w:rsid w:val="0063663C"/>
    <w:rsid w:val="00645519"/>
    <w:rsid w:val="00646187"/>
    <w:rsid w:val="006C7186"/>
    <w:rsid w:val="00707767"/>
    <w:rsid w:val="00756FEB"/>
    <w:rsid w:val="007B0744"/>
    <w:rsid w:val="00804A77"/>
    <w:rsid w:val="008832D1"/>
    <w:rsid w:val="008926A3"/>
    <w:rsid w:val="00895355"/>
    <w:rsid w:val="0093334A"/>
    <w:rsid w:val="00971859"/>
    <w:rsid w:val="009C3CF7"/>
    <w:rsid w:val="00A952E4"/>
    <w:rsid w:val="00B95918"/>
    <w:rsid w:val="00BB73B4"/>
    <w:rsid w:val="00C851FA"/>
    <w:rsid w:val="00D13F58"/>
    <w:rsid w:val="00D83EC5"/>
    <w:rsid w:val="00DF513F"/>
    <w:rsid w:val="00F03239"/>
    <w:rsid w:val="00F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2E3"/>
  <w15:docId w15:val="{6008F7B5-FDD4-40C7-8E49-9FD782D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A"/>
  </w:style>
  <w:style w:type="paragraph" w:styleId="1">
    <w:name w:val="heading 1"/>
    <w:basedOn w:val="a"/>
    <w:next w:val="a"/>
    <w:link w:val="10"/>
    <w:uiPriority w:val="9"/>
    <w:qFormat/>
    <w:rsid w:val="00C85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Book Title"/>
    <w:basedOn w:val="a0"/>
    <w:uiPriority w:val="33"/>
    <w:qFormat/>
    <w:rsid w:val="00C851FA"/>
    <w:rPr>
      <w:b/>
      <w:bCs/>
      <w:smallCaps/>
      <w:spacing w:val="5"/>
    </w:rPr>
  </w:style>
  <w:style w:type="table" w:styleId="a4">
    <w:name w:val="Table Grid"/>
    <w:basedOn w:val="a1"/>
    <w:uiPriority w:val="59"/>
    <w:rsid w:val="009C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rsid w:val="00B9591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6C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7186"/>
    <w:rPr>
      <w:b/>
      <w:bCs/>
    </w:rPr>
  </w:style>
  <w:style w:type="character" w:styleId="a7">
    <w:name w:val="Hyperlink"/>
    <w:basedOn w:val="a0"/>
    <w:uiPriority w:val="99"/>
    <w:semiHidden/>
    <w:unhideWhenUsed/>
    <w:rsid w:val="006C7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авпвап</dc:creator>
  <cp:lastModifiedBy>пользователь</cp:lastModifiedBy>
  <cp:revision>3</cp:revision>
  <dcterms:created xsi:type="dcterms:W3CDTF">2026-06-03T14:41:00Z</dcterms:created>
  <dcterms:modified xsi:type="dcterms:W3CDTF">2026-06-05T01:01:00Z</dcterms:modified>
</cp:coreProperties>
</file>