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36"/>
          <w:szCs w:val="36"/>
          <w:rtl w:val="0"/>
          <w:lang w:val="ru-RU"/>
        </w:rPr>
        <w:t xml:space="preserve">                 Лексический запас </w:t>
      </w:r>
      <w:r>
        <w:rPr>
          <w:rFonts w:ascii="Times New Roman" w:hAnsi="Times New Roman"/>
          <w:b w:val="1"/>
          <w:bCs w:val="1"/>
          <w:i w:val="1"/>
          <w:iCs w:val="1"/>
          <w:sz w:val="36"/>
          <w:szCs w:val="36"/>
          <w:rtl w:val="0"/>
          <w:lang w:val="ru-RU"/>
        </w:rPr>
        <w:t xml:space="preserve">( </w:t>
      </w:r>
      <w:r>
        <w:rPr>
          <w:rFonts w:ascii="Times New Roman" w:hAnsi="Times New Roman" w:hint="default"/>
          <w:b w:val="1"/>
          <w:bCs w:val="1"/>
          <w:i w:val="1"/>
          <w:iCs w:val="1"/>
          <w:sz w:val="36"/>
          <w:szCs w:val="36"/>
          <w:rtl w:val="0"/>
          <w:lang w:val="ru-RU"/>
        </w:rPr>
        <w:t xml:space="preserve">Языковой фонд </w:t>
      </w:r>
      <w:r>
        <w:rPr>
          <w:rFonts w:ascii="Times New Roman" w:hAnsi="Times New Roman"/>
          <w:b w:val="1"/>
          <w:bCs w:val="1"/>
          <w:i w:val="1"/>
          <w:iCs w:val="1"/>
          <w:sz w:val="36"/>
          <w:szCs w:val="36"/>
          <w:rtl w:val="0"/>
          <w:lang w:val="ru-RU"/>
        </w:rPr>
        <w:t xml:space="preserve">) 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36"/>
          <w:szCs w:val="36"/>
          <w:rtl w:val="0"/>
          <w:lang w:val="ru-RU"/>
        </w:rPr>
        <w:t xml:space="preserve">                       Чему необходимо обучать</w:t>
      </w:r>
      <w:r>
        <w:rPr>
          <w:rFonts w:ascii="Times New Roman" w:hAnsi="Times New Roman"/>
          <w:b w:val="1"/>
          <w:bCs w:val="1"/>
          <w:i w:val="1"/>
          <w:iCs w:val="1"/>
          <w:sz w:val="36"/>
          <w:szCs w:val="36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6"/>
          <w:szCs w:val="36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Словарный запас можно определить как слова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мы учим в процессе изучения иностранного языка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новой лексической единицей может быть не просто одно слово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сочетание слов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post office, brother-in-law,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выражающих одно понятие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Невозможно не упомянуть фразеологизмы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en-US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call it a day,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смысл которых не представляется возможным аккумулировать из каждой отдельной единицы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Чему необходимо обучать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Форме слова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произношению и написанию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Данные характеристики являются первостепенными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воспринимаются обучающимся по мере ознакомления с той или иной языковой единицей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преподавании нам необходимо сконцентрироваться на данных характеристиках при введении лексических единиц и при контроле усвоения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Грамматике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введении новой лексической единицы необходимо принимать во внимание возможное изменение формы слова в определённых грамматических контекстах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идиосинкратический способ связи с другими словами в предложении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Важно наряду с введением начальной формы слова ознакомить учащихся с всевозможными его формами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введении глагольной формы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необходимо ознакомить также с формой прошедшего времени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если глагол неправильный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(think-thought),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обратить внимание является ли глагол переходным или непереходным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введении существительного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необходимо ознакомить с формой множественного числа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если данное существительное является исключением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mouse-mice),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обратить внимание учащихся на то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у существительного нет формы множественного числа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(advice, information).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Глаголы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want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enjoy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вводим в сочетании с глагольной формой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которая следует за этими глаголами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want to, enjoy -ing),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прилагательные или глаголы в сочетании с послелогами </w:t>
      </w:r>
      <w:r>
        <w:rPr>
          <w:rFonts w:ascii="Times New Roman" w:hAnsi="Times New Roman"/>
          <w:sz w:val="28"/>
          <w:szCs w:val="28"/>
          <w:rtl w:val="0"/>
          <w:lang w:val="en-US"/>
        </w:rPr>
        <w:t>( responsible for, remind someone of ).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Сочетанию слов в предложении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Важным является также введение лексической единицы в устойчивом словосочетании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Вводя такие слова как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decision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conclusion,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необходимо обратить внимание учащихся на сочетание слов</w:t>
      </w:r>
      <w:r>
        <w:rPr>
          <w:rFonts w:ascii="Times New Roman" w:hAnsi="Times New Roman"/>
          <w:sz w:val="28"/>
          <w:szCs w:val="28"/>
          <w:rtl w:val="0"/>
          <w:lang w:val="en-US"/>
        </w:rPr>
        <w:t>: take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make decision,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come to conclusion.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Ещё один пример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throw a ball,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toss a coin.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Правильно будет сказать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dead fatigued.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ознакомиться с сочетанием слов в словарных статьях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осуществляя поиск по ключевому слову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Аспекты значения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денотация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коннотация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точность использования лексической единицы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Значение слова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его детонация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определение</w:t>
      </w:r>
      <w:r>
        <w:rPr>
          <w:rFonts w:ascii="Times New Roman" w:hAnsi="Times New Roman"/>
          <w:sz w:val="28"/>
          <w:szCs w:val="28"/>
          <w:rtl w:val="0"/>
          <w:lang w:val="en-US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которое даёт словарь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слово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собака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»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означает домашнее животное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именно млекопитающее отряда хищных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Оба слова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dank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moist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имеют значение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влажный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»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сырой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»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Менее очевидный компонент значения слова его коннотация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ассоциации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положительные либо отрицательные чувства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связанные с этим словом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правило не представленные в определении словарной статьи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Слово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собака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»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имеет положительную коннотацию и часто ассоциируется с такими понятиями как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дружба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»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преданность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»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Слово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«</w:t>
      </w:r>
      <w:r>
        <w:rPr>
          <w:rFonts w:ascii="Times New Roman" w:hAnsi="Times New Roman"/>
          <w:sz w:val="28"/>
          <w:szCs w:val="28"/>
          <w:rtl w:val="0"/>
          <w:lang w:val="en-US"/>
        </w:rPr>
        <w:t>moist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»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имеет положительную коннотацию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то время как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«</w:t>
      </w:r>
      <w:r>
        <w:rPr>
          <w:rFonts w:ascii="Times New Roman" w:hAnsi="Times New Roman"/>
          <w:sz w:val="28"/>
          <w:szCs w:val="28"/>
          <w:rtl w:val="0"/>
          <w:lang w:val="en-US"/>
        </w:rPr>
        <w:t>dank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»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негативную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Тонким аспектом значения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которому необходимо обучать является умение использовать слово правильно в зависимости от контекста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Учащихся необходимо обучать тому является ли слово общеупотребительным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оно относительно редко используется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относится ли слово к татуированной лексике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используется ли больше в письменной речи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употребляется ли в формальном или неформальном дискурсе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принадлежит ли к определённому диалекту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слово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rtl w:val="0"/>
          <w:lang w:val="en-US"/>
        </w:rPr>
        <w:t>weep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является синонимичным по отношению к слову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«</w:t>
      </w:r>
      <w:r>
        <w:rPr>
          <w:rFonts w:ascii="Times New Roman" w:hAnsi="Times New Roman"/>
          <w:sz w:val="28"/>
          <w:szCs w:val="28"/>
          <w:rtl w:val="0"/>
          <w:lang w:val="en-US"/>
        </w:rPr>
        <w:t>cry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»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более формальное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используется в письменной речи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гораздо менее употребительное нежели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«</w:t>
      </w:r>
      <w:r>
        <w:rPr>
          <w:rFonts w:ascii="Times New Roman" w:hAnsi="Times New Roman"/>
          <w:sz w:val="28"/>
          <w:szCs w:val="28"/>
          <w:rtl w:val="0"/>
          <w:lang w:val="en-US"/>
        </w:rPr>
        <w:t>cry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»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