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                Лексический запас </w:t>
      </w: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( </w:t>
      </w:r>
      <w:r>
        <w:rPr>
          <w:rFonts w:ascii="Times New Roman" w:hAnsi="Times New Roman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Языковой фонд </w:t>
      </w: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) 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                      Чему необходимо обучать</w:t>
      </w:r>
      <w:r>
        <w:rPr>
          <w:rFonts w:ascii="Times New Roman" w:hAnsi="Times New Roman"/>
          <w:b w:val="1"/>
          <w:bCs w:val="1"/>
          <w:i w:val="1"/>
          <w:iCs w:val="1"/>
          <w:sz w:val="36"/>
          <w:szCs w:val="36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Словарный запас можно определить как слова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мы учим в процессе изучения иностранного языка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новой лексической единицей может быть не просто одно слово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сочетание слов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post office, brother-in-law,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выражающих одно понятие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Невозможно не упомянуть фразеологизмы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call it a day,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смысл которых не представляется возможным аккумулировать из каждой отдельной единицы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Чему необходимо обучать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?</w:t>
      </w:r>
    </w:p>
    <w:p>
      <w:pPr>
        <w:pStyle w:val="Основной текст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Форме слова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произношению и написанию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характеристики являются первостепенными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воспринимаются обучающимся по мере ознакомления с той или иной языковой единицей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преподавании нам необходимо сконцентрироваться на данных характеристиках при введении лексических единиц и при контроле усвоения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Грамматике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введении новой лексической единицы необходимо принимать во внимание возможное изменение формы слова в определённых грамматических контекстах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идиосинкратический способ связи с другими словами в предложении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наряду с введением начальной формы слова ознакомить учащихся с всевозможными его формами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введении глагольной формы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ознакомить также с формой прошедшего времени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глагол неправильный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(think-thought),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обратить внимание является ли глагол переходным или непереходным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введении существительного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ознакомить с формой множественного числа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данное существительное является исключением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mouse-mice),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обратить внимание учащихся на то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у существительного нет формы множественного числа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(advice, information).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Глаголы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want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enjoy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вводим в сочетании с глагольной формой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которая следует за этими глаголами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want to, enjoy -ing),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прилагательные или глаголы в сочетании с послелогами </w:t>
      </w:r>
      <w:r>
        <w:rPr>
          <w:rFonts w:ascii="Times New Roman" w:hAnsi="Times New Roman"/>
          <w:sz w:val="28"/>
          <w:szCs w:val="28"/>
          <w:rtl w:val="0"/>
          <w:lang w:val="en-US"/>
        </w:rPr>
        <w:t>( responsible for, remind someone of ).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Сочетанию слов в предложении</w:t>
      </w:r>
    </w:p>
    <w:p>
      <w:pPr>
        <w:pStyle w:val="Основной текст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является также введение лексической единицы в устойчивом словосочетании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Вводя такие слова как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decision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conclusion,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необходимо обратить внимание учащихся на сочетание слов</w:t>
      </w:r>
      <w:r>
        <w:rPr>
          <w:rFonts w:ascii="Times New Roman" w:hAnsi="Times New Roman"/>
          <w:sz w:val="28"/>
          <w:szCs w:val="28"/>
          <w:rtl w:val="0"/>
          <w:lang w:val="en-US"/>
        </w:rPr>
        <w:t>: take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make decision,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come to conclusion.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Ещё один пример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throw a ball,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toss a coin.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Правильно будет сказать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dead fatigued.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ознакомиться с сочетанием слов в словарных статьях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осуществляя поиск по ключевому слову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Аспекты значения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денотация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коннотация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точность использования лексической единицы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Значение слова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его детонация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которое даёт словарь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слово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собака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означает домашнее животное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 млекопитающее отряда хищных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Оба слова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dank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moist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имеют значение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влажный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сырой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Менее очевидный компонент значения слова его коннотация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ассоциации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положительные либо отрицательные чувства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связанные с этим словом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 не представленные в определении словарной статьи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Слово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собака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имеет положительную коннотацию и часто ассоциируется с такими понятиями как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дружба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преданность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Слово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moist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положительную коннотацию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 время как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dank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»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негативную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Тонким аспектом значения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необходимо обучать является умение использовать слово правильно в зависимости от контекста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Учащихся необходимо обучать тому является ли слово общеупотребительным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оно относительно редко используется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ли слово к татуированной лексике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ли больше в письменной речи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употребляется ли в формальном или неформальном дискурсе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принадлежит ли к определённому диалекту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слово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 «</w:t>
      </w:r>
      <w:r>
        <w:rPr>
          <w:rFonts w:ascii="Times New Roman" w:hAnsi="Times New Roman"/>
          <w:sz w:val="28"/>
          <w:szCs w:val="28"/>
          <w:rtl w:val="0"/>
          <w:lang w:val="en-US"/>
        </w:rPr>
        <w:t>weep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является синонимичным по отношению к слову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cry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более формальное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используется в письменной речи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гораздо менее употребительное нежели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«</w:t>
      </w:r>
      <w:r>
        <w:rPr>
          <w:rFonts w:ascii="Times New Roman" w:hAnsi="Times New Roman"/>
          <w:sz w:val="28"/>
          <w:szCs w:val="28"/>
          <w:rtl w:val="0"/>
          <w:lang w:val="en-US"/>
        </w:rPr>
        <w:t>cry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