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6A" w:rsidRDefault="00AA4B56" w:rsidP="00736294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736294">
        <w:rPr>
          <w:rFonts w:ascii="Times New Roman" w:hAnsi="Times New Roman" w:cs="Times New Roman"/>
          <w:sz w:val="40"/>
          <w:szCs w:val="40"/>
        </w:rPr>
        <w:t xml:space="preserve">Использование </w:t>
      </w:r>
      <w:proofErr w:type="spellStart"/>
      <w:r w:rsidRPr="00736294">
        <w:rPr>
          <w:rFonts w:ascii="Times New Roman" w:hAnsi="Times New Roman" w:cs="Times New Roman"/>
          <w:sz w:val="40"/>
          <w:szCs w:val="40"/>
        </w:rPr>
        <w:t>Ноогеновских</w:t>
      </w:r>
      <w:proofErr w:type="spellEnd"/>
      <w:r w:rsidRPr="00736294">
        <w:rPr>
          <w:rFonts w:ascii="Times New Roman" w:hAnsi="Times New Roman" w:cs="Times New Roman"/>
          <w:sz w:val="40"/>
          <w:szCs w:val="40"/>
        </w:rPr>
        <w:t xml:space="preserve"> задач </w:t>
      </w:r>
      <w:r w:rsidR="00736294">
        <w:rPr>
          <w:rFonts w:ascii="Times New Roman" w:hAnsi="Times New Roman" w:cs="Times New Roman"/>
          <w:sz w:val="40"/>
          <w:szCs w:val="40"/>
        </w:rPr>
        <w:t>на уроках</w:t>
      </w:r>
    </w:p>
    <w:p w:rsidR="00B13086" w:rsidRPr="00B13086" w:rsidRDefault="00B13086" w:rsidP="00B13086">
      <w:pPr>
        <w:pStyle w:val="a1"/>
      </w:pPr>
      <w:r>
        <w:t xml:space="preserve">Автор: Кот Елена Анатольевна, ГБОУ Школа №45 им. </w:t>
      </w:r>
      <w:proofErr w:type="spellStart"/>
      <w:r>
        <w:t>Л.И.Мильграма</w:t>
      </w:r>
      <w:proofErr w:type="spellEnd"/>
      <w:r w:rsidR="00EC7197">
        <w:t>, учитель биологии</w:t>
      </w:r>
    </w:p>
    <w:p w:rsidR="002B3A6A" w:rsidRPr="00736294" w:rsidRDefault="00AA4B56">
      <w:pPr>
        <w:pStyle w:val="a1"/>
        <w:ind w:firstLine="454"/>
        <w:jc w:val="both"/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 xml:space="preserve">Несмотря на то, что педагогическая технология </w:t>
      </w:r>
      <w:proofErr w:type="spellStart"/>
      <w:r w:rsidRPr="00736294">
        <w:rPr>
          <w:rFonts w:ascii="Times New Roman" w:hAnsi="Times New Roman" w:cs="Times New Roman"/>
        </w:rPr>
        <w:t>Нооген</w:t>
      </w:r>
      <w:proofErr w:type="spellEnd"/>
      <w:r w:rsidRPr="00736294">
        <w:rPr>
          <w:rFonts w:ascii="Times New Roman" w:hAnsi="Times New Roman" w:cs="Times New Roman"/>
        </w:rPr>
        <w:t xml:space="preserve"> появилась более тридцати лет назад на основе организационно-</w:t>
      </w:r>
      <w:proofErr w:type="spellStart"/>
      <w:r w:rsidRPr="00736294">
        <w:rPr>
          <w:rFonts w:ascii="Times New Roman" w:hAnsi="Times New Roman" w:cs="Times New Roman"/>
        </w:rPr>
        <w:t>деятельностных</w:t>
      </w:r>
      <w:proofErr w:type="spellEnd"/>
      <w:r w:rsidRPr="00736294">
        <w:rPr>
          <w:rFonts w:ascii="Times New Roman" w:hAnsi="Times New Roman" w:cs="Times New Roman"/>
        </w:rPr>
        <w:t xml:space="preserve"> играх Геннадия Петровича Щедровицкого [1], в образовательном процессе эта технология применяется крайне редко. И область её применения относится к дополнительному образованию. Тем не менее, </w:t>
      </w:r>
      <w:r w:rsidR="00736294" w:rsidRPr="00736294">
        <w:rPr>
          <w:rFonts w:ascii="Times New Roman" w:hAnsi="Times New Roman" w:cs="Times New Roman"/>
        </w:rPr>
        <w:t>е</w:t>
      </w:r>
      <w:r w:rsidRPr="00736294">
        <w:rPr>
          <w:rFonts w:ascii="Times New Roman" w:hAnsi="Times New Roman" w:cs="Times New Roman"/>
        </w:rPr>
        <w:t>сть основания полагать, что данная технология может быть успешно использована и в рамках академического процесс</w:t>
      </w:r>
      <w:r w:rsidR="00736294" w:rsidRPr="00736294">
        <w:rPr>
          <w:rFonts w:ascii="Times New Roman" w:hAnsi="Times New Roman" w:cs="Times New Roman"/>
        </w:rPr>
        <w:t>а</w:t>
      </w:r>
      <w:r w:rsidRPr="00736294">
        <w:rPr>
          <w:rFonts w:ascii="Times New Roman" w:hAnsi="Times New Roman" w:cs="Times New Roman"/>
        </w:rPr>
        <w:t xml:space="preserve"> основной и старшей школы.  Эти основа</w:t>
      </w:r>
      <w:r w:rsidR="00365949">
        <w:rPr>
          <w:rFonts w:ascii="Times New Roman" w:hAnsi="Times New Roman" w:cs="Times New Roman"/>
        </w:rPr>
        <w:t xml:space="preserve">ния базируются </w:t>
      </w:r>
      <w:r w:rsidR="00F72862">
        <w:rPr>
          <w:rFonts w:ascii="Times New Roman" w:hAnsi="Times New Roman" w:cs="Times New Roman"/>
        </w:rPr>
        <w:t xml:space="preserve">на </w:t>
      </w:r>
      <w:r w:rsidR="00736294" w:rsidRPr="00736294">
        <w:rPr>
          <w:rFonts w:ascii="Times New Roman" w:hAnsi="Times New Roman" w:cs="Times New Roman"/>
        </w:rPr>
        <w:t>определённом</w:t>
      </w:r>
      <w:r w:rsidR="00365949">
        <w:rPr>
          <w:rFonts w:ascii="Times New Roman" w:hAnsi="Times New Roman" w:cs="Times New Roman"/>
        </w:rPr>
        <w:t xml:space="preserve"> </w:t>
      </w:r>
      <w:r w:rsidRPr="00736294">
        <w:rPr>
          <w:rFonts w:ascii="Times New Roman" w:hAnsi="Times New Roman" w:cs="Times New Roman"/>
        </w:rPr>
        <w:t>Федеральном государственном образовательном стандарте системно-деятельном подходе [2], опирающийся, как на эмпирический, так и на теоретический тип мышления учащегося [3].</w:t>
      </w:r>
    </w:p>
    <w:p w:rsidR="002B3A6A" w:rsidRPr="00736294" w:rsidRDefault="00AA4B56">
      <w:pPr>
        <w:pStyle w:val="a1"/>
        <w:ind w:firstLine="454"/>
        <w:jc w:val="both"/>
        <w:rPr>
          <w:rFonts w:ascii="Times New Roman" w:hAnsi="Times New Roman" w:cs="Times New Roman"/>
        </w:rPr>
      </w:pPr>
      <w:proofErr w:type="spellStart"/>
      <w:r w:rsidRPr="00736294">
        <w:rPr>
          <w:rFonts w:ascii="Times New Roman" w:hAnsi="Times New Roman" w:cs="Times New Roman"/>
        </w:rPr>
        <w:t>Ноогеновские</w:t>
      </w:r>
      <w:proofErr w:type="spellEnd"/>
      <w:r w:rsidRPr="00736294">
        <w:rPr>
          <w:rFonts w:ascii="Times New Roman" w:hAnsi="Times New Roman" w:cs="Times New Roman"/>
        </w:rPr>
        <w:t xml:space="preserve"> задачи представляют из себя задания с открытым решением на моделирование различного рода миров [1], в которых условия существования принципиально отличаются от привычных. Например, «Придумать мир, в котором то, что понято, то и исчезает», «Описать точку зрения как математическую операцию», «Придумать мир без дыр» [4]… Как правило, одна и та же </w:t>
      </w:r>
      <w:proofErr w:type="spellStart"/>
      <w:r w:rsidRPr="00736294">
        <w:rPr>
          <w:rFonts w:ascii="Times New Roman" w:hAnsi="Times New Roman" w:cs="Times New Roman"/>
        </w:rPr>
        <w:t>Ноогеновская</w:t>
      </w:r>
      <w:proofErr w:type="spellEnd"/>
      <w:r w:rsidRPr="00736294">
        <w:rPr>
          <w:rFonts w:ascii="Times New Roman" w:hAnsi="Times New Roman" w:cs="Times New Roman"/>
        </w:rPr>
        <w:t xml:space="preserve"> задача предлагается нескольким группам одновременно и,</w:t>
      </w:r>
      <w:r w:rsidR="007754AB" w:rsidRPr="00736294">
        <w:rPr>
          <w:rFonts w:ascii="Times New Roman" w:hAnsi="Times New Roman" w:cs="Times New Roman"/>
        </w:rPr>
        <w:t xml:space="preserve"> </w:t>
      </w:r>
      <w:r w:rsidRPr="00736294">
        <w:rPr>
          <w:rFonts w:ascii="Times New Roman" w:hAnsi="Times New Roman" w:cs="Times New Roman"/>
        </w:rPr>
        <w:t>по истечению фиксированного времени, эти группы представляют свои разработки друг другу. Естественно, подобного рода задания не имеют «правильного» решения и их основная педагогическая ценность заключается в последующих после решения представлении и обсуждении. В процессе представления группам необходимо не только рассказать о придуманном «мире», но и показать его непрот</w:t>
      </w:r>
      <w:r w:rsidR="007754AB" w:rsidRPr="00736294">
        <w:rPr>
          <w:rFonts w:ascii="Times New Roman" w:hAnsi="Times New Roman" w:cs="Times New Roman"/>
        </w:rPr>
        <w:t>и</w:t>
      </w:r>
      <w:r w:rsidRPr="00736294">
        <w:rPr>
          <w:rFonts w:ascii="Times New Roman" w:hAnsi="Times New Roman" w:cs="Times New Roman"/>
        </w:rPr>
        <w:t xml:space="preserve">воречивость и цельность. В результате обсуждения каждого из «миров» участники оценивают насколько у представляющей группы получилось создать такую модель, как изменились физические и социальные законы придуманного «мира», какие оригинальные идеи возникли, какие идеи можно воплотить или использовать в нашем мире. (И в этом аспекте, технология </w:t>
      </w:r>
      <w:proofErr w:type="spellStart"/>
      <w:r w:rsidRPr="00736294">
        <w:rPr>
          <w:rFonts w:ascii="Times New Roman" w:hAnsi="Times New Roman" w:cs="Times New Roman"/>
        </w:rPr>
        <w:t>Нооген</w:t>
      </w:r>
      <w:proofErr w:type="spellEnd"/>
      <w:r w:rsidRPr="00736294">
        <w:rPr>
          <w:rFonts w:ascii="Times New Roman" w:hAnsi="Times New Roman" w:cs="Times New Roman"/>
        </w:rPr>
        <w:t xml:space="preserve"> частично пересекается с технологией ТРИЗ [5] и может оказаться хорошей пропедевтикой для её использования в дальнейшем.)</w:t>
      </w:r>
    </w:p>
    <w:p w:rsidR="002B3A6A" w:rsidRPr="00736294" w:rsidRDefault="00AA4B56">
      <w:pPr>
        <w:pStyle w:val="a1"/>
        <w:ind w:firstLine="454"/>
        <w:jc w:val="both"/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 xml:space="preserve">Таким образом, </w:t>
      </w:r>
      <w:proofErr w:type="spellStart"/>
      <w:r w:rsidRPr="00736294">
        <w:rPr>
          <w:rFonts w:ascii="Times New Roman" w:hAnsi="Times New Roman" w:cs="Times New Roman"/>
        </w:rPr>
        <w:t>Ноогеновские</w:t>
      </w:r>
      <w:proofErr w:type="spellEnd"/>
      <w:r w:rsidRPr="00736294">
        <w:rPr>
          <w:rFonts w:ascii="Times New Roman" w:hAnsi="Times New Roman" w:cs="Times New Roman"/>
        </w:rPr>
        <w:t xml:space="preserve"> задачи развивают творческое мышление, критическое мышление, создают мотивацию к изучению предметов естественно-научного цикла, формируют навыки групповой работы и коммуникационные навыки.</w:t>
      </w:r>
    </w:p>
    <w:p w:rsidR="002B3A6A" w:rsidRPr="00736294" w:rsidRDefault="00AA4B56">
      <w:pPr>
        <w:pStyle w:val="a1"/>
        <w:ind w:firstLine="454"/>
        <w:jc w:val="both"/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 xml:space="preserve">Если внести в технологию </w:t>
      </w:r>
      <w:proofErr w:type="spellStart"/>
      <w:r w:rsidRPr="00736294">
        <w:rPr>
          <w:rFonts w:ascii="Times New Roman" w:hAnsi="Times New Roman" w:cs="Times New Roman"/>
        </w:rPr>
        <w:t>Нооген</w:t>
      </w:r>
      <w:proofErr w:type="spellEnd"/>
      <w:r w:rsidRPr="00736294">
        <w:rPr>
          <w:rFonts w:ascii="Times New Roman" w:hAnsi="Times New Roman" w:cs="Times New Roman"/>
        </w:rPr>
        <w:t xml:space="preserve"> небольшие изменения, то становится возможным, не теряя всех преимуществ таких задач, решать вполне определенные дидактические задачи конкретных предметов. То есть </w:t>
      </w:r>
      <w:proofErr w:type="spellStart"/>
      <w:r w:rsidRPr="00736294">
        <w:rPr>
          <w:rFonts w:ascii="Times New Roman" w:hAnsi="Times New Roman" w:cs="Times New Roman"/>
        </w:rPr>
        <w:t>Ноогеновская</w:t>
      </w:r>
      <w:proofErr w:type="spellEnd"/>
      <w:r w:rsidRPr="00736294">
        <w:rPr>
          <w:rFonts w:ascii="Times New Roman" w:hAnsi="Times New Roman" w:cs="Times New Roman"/>
        </w:rPr>
        <w:t xml:space="preserve"> технология вполне может стать педагогическим инструментом учителя на уроке.</w:t>
      </w:r>
    </w:p>
    <w:p w:rsidR="002B3A6A" w:rsidRPr="00736294" w:rsidRDefault="00AA4B56">
      <w:pPr>
        <w:pStyle w:val="a1"/>
        <w:ind w:firstLine="454"/>
        <w:jc w:val="both"/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>Опираясь на уже изученный материал, учитель может предложить «придумать» ребятам, например, как может функционировать тот или иной неизученный орган человека; предположить, что изменится в экосистеме арктической тундры, если исчезнут хищные птицы; как видоизменяться растения, если их будут опылять не насекомые и мелкие птицы, а животные.</w:t>
      </w:r>
    </w:p>
    <w:p w:rsidR="002B3A6A" w:rsidRPr="00736294" w:rsidRDefault="00AA4B56">
      <w:pPr>
        <w:pStyle w:val="a1"/>
        <w:ind w:firstLine="454"/>
        <w:jc w:val="both"/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 xml:space="preserve">Так как </w:t>
      </w:r>
      <w:proofErr w:type="spellStart"/>
      <w:r w:rsidRPr="00736294">
        <w:rPr>
          <w:rFonts w:ascii="Times New Roman" w:hAnsi="Times New Roman" w:cs="Times New Roman"/>
        </w:rPr>
        <w:t>Ноогеновская</w:t>
      </w:r>
      <w:proofErr w:type="spellEnd"/>
      <w:r w:rsidRPr="00736294">
        <w:rPr>
          <w:rFonts w:ascii="Times New Roman" w:hAnsi="Times New Roman" w:cs="Times New Roman"/>
        </w:rPr>
        <w:t xml:space="preserve"> задача по своей сути игра, а, как известно, игровой подход формирует более высокую мотивацию по сравнению с традиционным [6], то сам факт постановки такой задачи будет мотивировать ребят к более детальному изучению </w:t>
      </w:r>
      <w:r w:rsidRPr="00736294">
        <w:rPr>
          <w:rFonts w:ascii="Times New Roman" w:hAnsi="Times New Roman" w:cs="Times New Roman"/>
        </w:rPr>
        <w:lastRenderedPageBreak/>
        <w:t>пройденных тем, ч</w:t>
      </w:r>
      <w:r w:rsidR="00736294" w:rsidRPr="00736294">
        <w:rPr>
          <w:rFonts w:ascii="Times New Roman" w:hAnsi="Times New Roman" w:cs="Times New Roman"/>
        </w:rPr>
        <w:t xml:space="preserve">тобы оказаться в игре успешным. </w:t>
      </w:r>
      <w:r w:rsidRPr="00736294">
        <w:rPr>
          <w:rFonts w:ascii="Times New Roman" w:hAnsi="Times New Roman" w:cs="Times New Roman"/>
        </w:rPr>
        <w:t xml:space="preserve">С другой стороны, </w:t>
      </w:r>
      <w:proofErr w:type="spellStart"/>
      <w:r w:rsidRPr="00736294">
        <w:rPr>
          <w:rFonts w:ascii="Times New Roman" w:hAnsi="Times New Roman" w:cs="Times New Roman"/>
        </w:rPr>
        <w:t>Ноогеновские</w:t>
      </w:r>
      <w:proofErr w:type="spellEnd"/>
      <w:r w:rsidRPr="00736294">
        <w:rPr>
          <w:rFonts w:ascii="Times New Roman" w:hAnsi="Times New Roman" w:cs="Times New Roman"/>
        </w:rPr>
        <w:t xml:space="preserve"> задачи относятся к типу реальных (жизненных) задач, таким образом для их решения потребуется не только интеграция имеющихся знаний, но синтез новых.</w:t>
      </w:r>
    </w:p>
    <w:p w:rsidR="002B3A6A" w:rsidRPr="00736294" w:rsidRDefault="00AA4B56">
      <w:pPr>
        <w:pStyle w:val="a1"/>
        <w:ind w:firstLine="454"/>
        <w:jc w:val="both"/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 xml:space="preserve">Также описанный подход позволяет переходить на </w:t>
      </w:r>
      <w:proofErr w:type="spellStart"/>
      <w:r w:rsidRPr="00736294">
        <w:rPr>
          <w:rFonts w:ascii="Times New Roman" w:hAnsi="Times New Roman" w:cs="Times New Roman"/>
        </w:rPr>
        <w:t>межпредметный</w:t>
      </w:r>
      <w:proofErr w:type="spellEnd"/>
      <w:r w:rsidRPr="00736294">
        <w:rPr>
          <w:rFonts w:ascii="Times New Roman" w:hAnsi="Times New Roman" w:cs="Times New Roman"/>
        </w:rPr>
        <w:t xml:space="preserve"> уровень, апеллируя не только к знаниям преподаваемого предмета, но и смежных дисциплин. К примеру, можно дать ребятам задание описать, как изменится человеческий организм, если сила притяжения уменьшится в три раза или как изменится социальная структура муравейника, если в процессе репродукции необходимым звеном будут, например, дождевые черви. Таким образом, для успешного решения таких задач придется повторить не только темы по биологии, но и другие предметы. А сам процесс решения будет приводить к более цельному пониманию окружающего мира и взаимосвязей в нём.</w:t>
      </w:r>
    </w:p>
    <w:p w:rsidR="002B3A6A" w:rsidRPr="00736294" w:rsidRDefault="00AA4B56">
      <w:pPr>
        <w:pStyle w:val="a1"/>
        <w:ind w:firstLine="454"/>
        <w:jc w:val="both"/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 xml:space="preserve">Рассматривая решение </w:t>
      </w:r>
      <w:proofErr w:type="spellStart"/>
      <w:r w:rsidRPr="00736294">
        <w:rPr>
          <w:rFonts w:ascii="Times New Roman" w:hAnsi="Times New Roman" w:cs="Times New Roman"/>
        </w:rPr>
        <w:t>Ноогеновских</w:t>
      </w:r>
      <w:proofErr w:type="spellEnd"/>
      <w:r w:rsidRPr="00736294">
        <w:rPr>
          <w:rFonts w:ascii="Times New Roman" w:hAnsi="Times New Roman" w:cs="Times New Roman"/>
        </w:rPr>
        <w:t xml:space="preserve"> задач с точки зрения дидактических единиц, можно давать задание в виде ментальной карты или таблицы, в которых отдельные поля (ячейки) заполнены изученными понятиями, отдельные относятся к придуманному миру, а отдельные пустуют. И решением такой задачи будет, собственно говоря, дополнение карты или таблицы таким образом, чтобы общая картина получилась цельной и </w:t>
      </w:r>
      <w:r w:rsidR="00736294" w:rsidRPr="00736294">
        <w:rPr>
          <w:rFonts w:ascii="Times New Roman" w:hAnsi="Times New Roman" w:cs="Times New Roman"/>
        </w:rPr>
        <w:t>непротиворечивой.</w:t>
      </w:r>
      <w:r w:rsidRPr="00736294">
        <w:rPr>
          <w:rFonts w:ascii="Times New Roman" w:hAnsi="Times New Roman" w:cs="Times New Roman"/>
        </w:rPr>
        <w:t xml:space="preserve"> Постановка задач в такой форме очень удобна, как при восприятии на презентации своего «мира», так и при проверке учителем, так как алогичности сразу показывают на недостаточно освоенные дидактические единицы пройденного материала.</w:t>
      </w:r>
    </w:p>
    <w:p w:rsidR="002B3A6A" w:rsidRPr="00736294" w:rsidRDefault="00AA4B56">
      <w:pPr>
        <w:pStyle w:val="a1"/>
        <w:ind w:firstLine="454"/>
        <w:jc w:val="both"/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 xml:space="preserve">Таким образом, </w:t>
      </w:r>
      <w:proofErr w:type="spellStart"/>
      <w:r w:rsidRPr="00736294">
        <w:rPr>
          <w:rFonts w:ascii="Times New Roman" w:hAnsi="Times New Roman" w:cs="Times New Roman"/>
        </w:rPr>
        <w:t>Ноогеновские</w:t>
      </w:r>
      <w:proofErr w:type="spellEnd"/>
      <w:r w:rsidRPr="00736294">
        <w:rPr>
          <w:rFonts w:ascii="Times New Roman" w:hAnsi="Times New Roman" w:cs="Times New Roman"/>
        </w:rPr>
        <w:t xml:space="preserve"> задачи не только создают дополнительный мотив в изучении предмета, не только служат </w:t>
      </w:r>
      <w:proofErr w:type="spellStart"/>
      <w:r w:rsidRPr="00736294">
        <w:rPr>
          <w:rFonts w:ascii="Times New Roman" w:hAnsi="Times New Roman" w:cs="Times New Roman"/>
        </w:rPr>
        <w:t>междпредметным</w:t>
      </w:r>
      <w:proofErr w:type="spellEnd"/>
      <w:r w:rsidRPr="00736294">
        <w:rPr>
          <w:rFonts w:ascii="Times New Roman" w:hAnsi="Times New Roman" w:cs="Times New Roman"/>
        </w:rPr>
        <w:t xml:space="preserve"> целям, но и являются эффективным инструментом учителя в рамках его предмета.</w:t>
      </w:r>
    </w:p>
    <w:p w:rsidR="002B3A6A" w:rsidRPr="00736294" w:rsidRDefault="00AA4B56">
      <w:pPr>
        <w:pStyle w:val="2"/>
        <w:rPr>
          <w:rFonts w:ascii="Times New Roman" w:hAnsi="Times New Roman" w:cs="Times New Roman"/>
          <w:sz w:val="28"/>
          <w:szCs w:val="28"/>
        </w:rPr>
      </w:pPr>
      <w:r w:rsidRPr="00736294"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2B3A6A" w:rsidRPr="00736294" w:rsidRDefault="00AA4B56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36294">
        <w:rPr>
          <w:rFonts w:ascii="Times New Roman" w:hAnsi="Times New Roman" w:cs="Times New Roman"/>
        </w:rPr>
        <w:t>Нооген</w:t>
      </w:r>
      <w:proofErr w:type="spellEnd"/>
      <w:r w:rsidRPr="00736294">
        <w:rPr>
          <w:rFonts w:ascii="Times New Roman" w:hAnsi="Times New Roman" w:cs="Times New Roman"/>
        </w:rPr>
        <w:t xml:space="preserve"> — Электронная энциклопедия «</w:t>
      </w:r>
      <w:proofErr w:type="spellStart"/>
      <w:r w:rsidRPr="00736294">
        <w:rPr>
          <w:rFonts w:ascii="Times New Roman" w:hAnsi="Times New Roman" w:cs="Times New Roman"/>
        </w:rPr>
        <w:t>Википелия</w:t>
      </w:r>
      <w:proofErr w:type="spellEnd"/>
      <w:r w:rsidRPr="00736294">
        <w:rPr>
          <w:rFonts w:ascii="Times New Roman" w:hAnsi="Times New Roman" w:cs="Times New Roman"/>
        </w:rPr>
        <w:t>» [Электронный ресурс], URL:</w:t>
      </w:r>
      <w:bookmarkStart w:id="0" w:name="firstHeading"/>
      <w:bookmarkEnd w:id="0"/>
      <w:r w:rsidRPr="00736294">
        <w:rPr>
          <w:rFonts w:ascii="Times New Roman" w:hAnsi="Times New Roman" w:cs="Times New Roman"/>
        </w:rPr>
        <w:t> https://ru.wikipedia.org/wiki/Нооген_(педагогическая_технология)</w:t>
      </w:r>
    </w:p>
    <w:p w:rsidR="002B3A6A" w:rsidRPr="00736294" w:rsidRDefault="00AA4B56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>Федеральные государственные образовательные стандарты — Портал «ФГОС» [Электронный ресурс], URL: https://fgos.ru</w:t>
      </w:r>
    </w:p>
    <w:p w:rsidR="002B3A6A" w:rsidRPr="00736294" w:rsidRDefault="00AA4B56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>Аксенова Н. И., Системно-</w:t>
      </w:r>
      <w:proofErr w:type="spellStart"/>
      <w:r w:rsidRPr="00736294">
        <w:rPr>
          <w:rFonts w:ascii="Times New Roman" w:hAnsi="Times New Roman" w:cs="Times New Roman"/>
        </w:rPr>
        <w:t>деятельностный</w:t>
      </w:r>
      <w:proofErr w:type="spellEnd"/>
      <w:r w:rsidRPr="00736294">
        <w:rPr>
          <w:rFonts w:ascii="Times New Roman" w:hAnsi="Times New Roman" w:cs="Times New Roman"/>
        </w:rPr>
        <w:t xml:space="preserve"> подход как основа формирования </w:t>
      </w:r>
      <w:proofErr w:type="spellStart"/>
      <w:r w:rsidRPr="00736294">
        <w:rPr>
          <w:rFonts w:ascii="Times New Roman" w:hAnsi="Times New Roman" w:cs="Times New Roman"/>
        </w:rPr>
        <w:t>метапредметных</w:t>
      </w:r>
      <w:proofErr w:type="spellEnd"/>
      <w:r w:rsidRPr="00736294">
        <w:rPr>
          <w:rFonts w:ascii="Times New Roman" w:hAnsi="Times New Roman" w:cs="Times New Roman"/>
        </w:rPr>
        <w:t xml:space="preserve"> резуль</w:t>
      </w:r>
      <w:r w:rsidR="00B07D92">
        <w:rPr>
          <w:rFonts w:ascii="Times New Roman" w:hAnsi="Times New Roman" w:cs="Times New Roman"/>
        </w:rPr>
        <w:t>татов / Н. И. Аксенова. — Текст</w:t>
      </w:r>
      <w:r w:rsidRPr="00736294">
        <w:rPr>
          <w:rFonts w:ascii="Times New Roman" w:hAnsi="Times New Roman" w:cs="Times New Roman"/>
        </w:rPr>
        <w:t>: непосредственный // Теория и практика</w:t>
      </w:r>
      <w:r w:rsidR="00B07D92">
        <w:rPr>
          <w:rFonts w:ascii="Times New Roman" w:hAnsi="Times New Roman" w:cs="Times New Roman"/>
        </w:rPr>
        <w:t xml:space="preserve"> образования в современном мире</w:t>
      </w:r>
      <w:r w:rsidRPr="00736294">
        <w:rPr>
          <w:rFonts w:ascii="Times New Roman" w:hAnsi="Times New Roman" w:cs="Times New Roman"/>
        </w:rPr>
        <w:t xml:space="preserve">: материалы I </w:t>
      </w:r>
      <w:proofErr w:type="spellStart"/>
      <w:r w:rsidRPr="00736294">
        <w:rPr>
          <w:rFonts w:ascii="Times New Roman" w:hAnsi="Times New Roman" w:cs="Times New Roman"/>
        </w:rPr>
        <w:t>Междунар</w:t>
      </w:r>
      <w:proofErr w:type="spellEnd"/>
      <w:r w:rsidRPr="00736294">
        <w:rPr>
          <w:rFonts w:ascii="Times New Roman" w:hAnsi="Times New Roman" w:cs="Times New Roman"/>
        </w:rPr>
        <w:t xml:space="preserve">. науч. </w:t>
      </w:r>
      <w:proofErr w:type="spellStart"/>
      <w:r w:rsidRPr="00736294">
        <w:rPr>
          <w:rFonts w:ascii="Times New Roman" w:hAnsi="Times New Roman" w:cs="Times New Roman"/>
        </w:rPr>
        <w:t>конф</w:t>
      </w:r>
      <w:proofErr w:type="spellEnd"/>
      <w:r w:rsidRPr="00736294">
        <w:rPr>
          <w:rFonts w:ascii="Times New Roman" w:hAnsi="Times New Roman" w:cs="Times New Roman"/>
        </w:rPr>
        <w:t>. (г. Санкт-Петербург, февраль 2012</w:t>
      </w:r>
      <w:r w:rsidR="00B07D92">
        <w:rPr>
          <w:rFonts w:ascii="Times New Roman" w:hAnsi="Times New Roman" w:cs="Times New Roman"/>
        </w:rPr>
        <w:t xml:space="preserve"> г.). — Т. 1. — Санкт-Петербург</w:t>
      </w:r>
      <w:r w:rsidRPr="00736294">
        <w:rPr>
          <w:rFonts w:ascii="Times New Roman" w:hAnsi="Times New Roman" w:cs="Times New Roman"/>
        </w:rPr>
        <w:t>: Реноме, 2012. — С. 140-142. — URL: https://moluch.ru/conf/ped/archive/21/1656</w:t>
      </w:r>
    </w:p>
    <w:p w:rsidR="002B3A6A" w:rsidRPr="00736294" w:rsidRDefault="00AA4B56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36294">
        <w:rPr>
          <w:rFonts w:ascii="Times New Roman" w:hAnsi="Times New Roman" w:cs="Times New Roman"/>
        </w:rPr>
        <w:t>НооГеновские</w:t>
      </w:r>
      <w:proofErr w:type="spellEnd"/>
      <w:r w:rsidRPr="00736294">
        <w:rPr>
          <w:rFonts w:ascii="Times New Roman" w:hAnsi="Times New Roman" w:cs="Times New Roman"/>
        </w:rPr>
        <w:t xml:space="preserve"> задачи — Портал «Городской центр проектного творчества» [Электронный ресурс], URL: http://www.gcpt.ru/concept/noogenovskie-zadachi</w:t>
      </w:r>
    </w:p>
    <w:p w:rsidR="002B3A6A" w:rsidRPr="00736294" w:rsidRDefault="00AA4B56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bookmarkStart w:id="1" w:name="firstHeading2"/>
      <w:bookmarkEnd w:id="1"/>
      <w:r w:rsidRPr="00736294">
        <w:rPr>
          <w:rFonts w:ascii="Times New Roman" w:hAnsi="Times New Roman" w:cs="Times New Roman"/>
        </w:rPr>
        <w:t>Теория решения изобретательских задач — Электронная энциклопедия «</w:t>
      </w:r>
      <w:proofErr w:type="spellStart"/>
      <w:r w:rsidRPr="00736294">
        <w:rPr>
          <w:rFonts w:ascii="Times New Roman" w:hAnsi="Times New Roman" w:cs="Times New Roman"/>
        </w:rPr>
        <w:t>Википелия</w:t>
      </w:r>
      <w:proofErr w:type="spellEnd"/>
      <w:r w:rsidRPr="00736294">
        <w:rPr>
          <w:rFonts w:ascii="Times New Roman" w:hAnsi="Times New Roman" w:cs="Times New Roman"/>
        </w:rPr>
        <w:t>» [Электронный ресурс], URL:</w:t>
      </w:r>
      <w:bookmarkStart w:id="2" w:name="firstHeading1"/>
      <w:bookmarkEnd w:id="2"/>
      <w:r w:rsidRPr="00736294">
        <w:rPr>
          <w:rFonts w:ascii="Times New Roman" w:hAnsi="Times New Roman" w:cs="Times New Roman"/>
        </w:rPr>
        <w:t> https://ru.wikipedia.org/wiki/</w:t>
      </w:r>
      <w:bookmarkStart w:id="3" w:name="firstHeading3"/>
      <w:bookmarkEnd w:id="3"/>
      <w:r w:rsidRPr="00736294">
        <w:rPr>
          <w:rFonts w:ascii="Times New Roman" w:hAnsi="Times New Roman" w:cs="Times New Roman"/>
        </w:rPr>
        <w:t>Теория_решения_изобретательских_задач</w:t>
      </w:r>
    </w:p>
    <w:p w:rsidR="002B3A6A" w:rsidRPr="00736294" w:rsidRDefault="00AA4B56" w:rsidP="007754AB">
      <w:pPr>
        <w:pStyle w:val="a1"/>
        <w:numPr>
          <w:ilvl w:val="0"/>
          <w:numId w:val="2"/>
        </w:numPr>
        <w:rPr>
          <w:rFonts w:ascii="Times New Roman" w:hAnsi="Times New Roman" w:cs="Times New Roman"/>
        </w:rPr>
      </w:pPr>
      <w:r w:rsidRPr="00736294">
        <w:rPr>
          <w:rFonts w:ascii="Times New Roman" w:hAnsi="Times New Roman" w:cs="Times New Roman"/>
        </w:rPr>
        <w:t>Борзенко А.А., Игра как средство мотивации в обучении — Научная электронная библиотека «</w:t>
      </w:r>
      <w:proofErr w:type="spellStart"/>
      <w:r w:rsidRPr="00736294">
        <w:rPr>
          <w:rFonts w:ascii="Times New Roman" w:hAnsi="Times New Roman" w:cs="Times New Roman"/>
        </w:rPr>
        <w:t>КиберЛенинка</w:t>
      </w:r>
      <w:proofErr w:type="spellEnd"/>
      <w:r w:rsidRPr="00736294">
        <w:rPr>
          <w:rFonts w:ascii="Times New Roman" w:hAnsi="Times New Roman" w:cs="Times New Roman"/>
        </w:rPr>
        <w:t>» [Электронный ресурс], URL:</w:t>
      </w:r>
      <w:bookmarkStart w:id="4" w:name="firstHeading11"/>
      <w:bookmarkEnd w:id="4"/>
      <w:r w:rsidRPr="00736294">
        <w:rPr>
          <w:rFonts w:ascii="Times New Roman" w:hAnsi="Times New Roman" w:cs="Times New Roman"/>
        </w:rPr>
        <w:t> https://cyberleninka.ru/article/n/igra-kak-sredstvo-povysheni</w:t>
      </w:r>
      <w:r w:rsidR="007754AB" w:rsidRPr="00736294">
        <w:rPr>
          <w:rFonts w:ascii="Times New Roman" w:hAnsi="Times New Roman" w:cs="Times New Roman"/>
        </w:rPr>
        <w:t>ya-motivatsii-v-obuchenii/view</w:t>
      </w:r>
      <w:bookmarkStart w:id="5" w:name="_GoBack"/>
      <w:bookmarkEnd w:id="5"/>
    </w:p>
    <w:sectPr w:rsidR="002B3A6A" w:rsidRPr="00736294">
      <w:pgSz w:w="11906" w:h="16838"/>
      <w:pgMar w:top="800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B03FB"/>
    <w:multiLevelType w:val="multilevel"/>
    <w:tmpl w:val="C4986C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35230F"/>
    <w:multiLevelType w:val="multilevel"/>
    <w:tmpl w:val="77F2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B3A6A"/>
    <w:rsid w:val="002B3A6A"/>
    <w:rsid w:val="00365949"/>
    <w:rsid w:val="00736294"/>
    <w:rsid w:val="007754AB"/>
    <w:rsid w:val="00AA4B56"/>
    <w:rsid w:val="00B07D92"/>
    <w:rsid w:val="00B13086"/>
    <w:rsid w:val="00EC7197"/>
    <w:rsid w:val="00F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632DE-6260-420E-8F3F-608F27B9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a8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7</cp:revision>
  <dcterms:created xsi:type="dcterms:W3CDTF">2021-08-10T17:53:00Z</dcterms:created>
  <dcterms:modified xsi:type="dcterms:W3CDTF">2021-08-10T18:58:00Z</dcterms:modified>
  <dc:language>ru-RU</dc:language>
</cp:coreProperties>
</file>