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2F9" w:rsidRPr="000402F9" w:rsidRDefault="00B10D17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СТАТЬЯ</w:t>
      </w:r>
      <w:bookmarkStart w:id="0" w:name="_GoBack"/>
      <w:bookmarkEnd w:id="0"/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Использование кругов Эйлера в развитии логического мышления школьников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Автор: Шаронова Индира Муратовна, учитель математики и информатики, НОЧУ СОШ «РУССКИЙ ГАРВАРД», г. Москва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  <w:t>Аннотация.</w:t>
      </w:r>
      <w:r w:rsidRPr="000402F9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 В статье рассматривается использование кругов Эйлера как эффективного инструмента для развития логического мышления школьников. Автор описывает возможности применения данного метода на уроках математики, информатики и во внеурочной деятельности, приводит конкретные примеры образовательных ситуаций и задач. Особое внимание уделяется возрастным особенностям развития мышления и универсальности метода для разных предметов.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  <w:t>Ключевые слова:</w:t>
      </w: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круги Эйлера, логическое мышление, диаграммы Эйлера-Венна, развитие мышления, практико-ориентированные задачи, множества.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I. Актуальность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 логического мышления является одной из ключевых задач современного образования. Умение анализировать, сравнивать, классифицировать, устанавливать причинно-следственные связи и делать обоснованные выводы необходимо не только для успешного освоения школьных предметов, но и для повседневной жизни. В условиях реализации обновлённых ФГОС особое внимание уделяется формированию у обучающихся универсальных учебных действий, среди которых важное место занимают логические действия.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Одним из простых, наглядных и эффективных инструментов для развития логического мышления являются круги Эйлера (или диаграммы </w:t>
      </w: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Эйлера-Венна). Этот метод универсален: он работает и в начальной школе, и в старших классах, помогая ученикам структурировать информацию, видеть связи между понятиями и решать нестандартные задачи. Актуальность метода подтверждается его широким применением в современной педагогической практике.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II. Теоретическое обоснование опыта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  <w:t>Понятие логического мышления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Логическое мышление — это способность человека рассуждать, анализировать, сравнивать, классифицировать, устанавливать причинно-следственные связи и делать обоснованные выводы.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Основные компоненты логического мышления:</w:t>
      </w:r>
    </w:p>
    <w:p w:rsidR="000402F9" w:rsidRPr="000402F9" w:rsidRDefault="000402F9" w:rsidP="000402F9">
      <w:pPr>
        <w:pStyle w:val="a5"/>
        <w:numPr>
          <w:ilvl w:val="0"/>
          <w:numId w:val="13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анализ — разделение целого на части;</w:t>
      </w:r>
    </w:p>
    <w:p w:rsidR="000402F9" w:rsidRPr="000402F9" w:rsidRDefault="000402F9" w:rsidP="000402F9">
      <w:pPr>
        <w:pStyle w:val="a5"/>
        <w:numPr>
          <w:ilvl w:val="0"/>
          <w:numId w:val="13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синтез — объединение частей в целое;</w:t>
      </w:r>
    </w:p>
    <w:p w:rsidR="000402F9" w:rsidRPr="000402F9" w:rsidRDefault="000402F9" w:rsidP="000402F9">
      <w:pPr>
        <w:pStyle w:val="a5"/>
        <w:numPr>
          <w:ilvl w:val="0"/>
          <w:numId w:val="13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сравнение — выявление сходств и различий;</w:t>
      </w:r>
    </w:p>
    <w:p w:rsidR="000402F9" w:rsidRPr="000402F9" w:rsidRDefault="000402F9" w:rsidP="000402F9">
      <w:pPr>
        <w:pStyle w:val="a5"/>
        <w:numPr>
          <w:ilvl w:val="0"/>
          <w:numId w:val="13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классификация — распределение по группам;</w:t>
      </w:r>
    </w:p>
    <w:p w:rsidR="000402F9" w:rsidRPr="000402F9" w:rsidRDefault="000402F9" w:rsidP="000402F9">
      <w:pPr>
        <w:pStyle w:val="a5"/>
        <w:numPr>
          <w:ilvl w:val="0"/>
          <w:numId w:val="13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обобщение — выделение общего признака;</w:t>
      </w:r>
    </w:p>
    <w:p w:rsidR="000402F9" w:rsidRPr="000402F9" w:rsidRDefault="000402F9" w:rsidP="000402F9">
      <w:pPr>
        <w:pStyle w:val="a5"/>
        <w:numPr>
          <w:ilvl w:val="0"/>
          <w:numId w:val="13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умозаключение — вывод из имеющихся данных.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  <w:t>Возрастные особенности развития мышления школьников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Для младших школьников (7–10 лет) характерно преобладание наглядно-образного мышления и переход к </w:t>
      </w:r>
      <w:proofErr w:type="gramStart"/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словесно-логическому</w:t>
      </w:r>
      <w:proofErr w:type="gramEnd"/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Учителю рекомендуется использовать наглядные схемы (круги Эйлера), цветовое кодирование и игровые формы.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средних классах (11–14 лет) происходит активное развитие абстрактного мышления, способности к классификации и обобщению. На этом этапе стоит усложнять задания, вводить многокритериальные задачи и использовать разные типы визуализации.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Для старших классов (15–17 лет) характерно сформированное абстрактно-логическое мышление, способность к анализу сложных систем. Здесь эффективны задачи с несколькими условиями, олимпиадные задания и исследовательские проекты.</w:t>
      </w:r>
    </w:p>
    <w:p w:rsidR="000402F9" w:rsidRPr="007C059D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</w:pPr>
      <w:r w:rsidRPr="007C059D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  <w:t>Что такое круги Эйлера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Круги Эйлера — это геометрическая схема, с помощью которой можно изобразить отношения между подмножествами для наглядного представления логических связей.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  <w:t>История появления метода: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XVIII век. Леонард Эйлер в своих письмах к немецкой принцессе использовал круги для объяснения сложных логических понятий.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XIX век. Английский логик Джон Венн дополнил идею Эйлера, создав более совершенную систему диаграмм (диаграммы Эйлера-Венна), которые используются до сих пор.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XX–XXI века. Круги Эйлера активно применяются в математике, информатике, логике, лингвистике и педагогике.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  <w:t>Основные операции с кругами Эйлера: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410"/>
        <w:gridCol w:w="4785"/>
      </w:tblGrid>
      <w:tr w:rsidR="007C059D" w:rsidRPr="000402F9" w:rsidTr="00A5702F">
        <w:tc>
          <w:tcPr>
            <w:tcW w:w="2376" w:type="dxa"/>
          </w:tcPr>
          <w:p w:rsidR="007C059D" w:rsidRPr="000402F9" w:rsidRDefault="007C059D" w:rsidP="00A570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b/>
                <w:sz w:val="28"/>
                <w:szCs w:val="28"/>
              </w:rPr>
              <w:t>Операция</w:t>
            </w:r>
          </w:p>
        </w:tc>
        <w:tc>
          <w:tcPr>
            <w:tcW w:w="2410" w:type="dxa"/>
          </w:tcPr>
          <w:p w:rsidR="007C059D" w:rsidRPr="000402F9" w:rsidRDefault="007C059D" w:rsidP="00A570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b/>
                <w:sz w:val="28"/>
                <w:szCs w:val="28"/>
              </w:rPr>
              <w:t>Обозначение</w:t>
            </w:r>
          </w:p>
        </w:tc>
        <w:tc>
          <w:tcPr>
            <w:tcW w:w="4785" w:type="dxa"/>
          </w:tcPr>
          <w:p w:rsidR="007C059D" w:rsidRPr="000402F9" w:rsidRDefault="007C059D" w:rsidP="00A570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b/>
                <w:sz w:val="28"/>
                <w:szCs w:val="28"/>
              </w:rPr>
              <w:t>Что показывает</w:t>
            </w:r>
          </w:p>
        </w:tc>
      </w:tr>
      <w:tr w:rsidR="007C059D" w:rsidRPr="000402F9" w:rsidTr="00A5702F">
        <w:tc>
          <w:tcPr>
            <w:tcW w:w="2376" w:type="dxa"/>
          </w:tcPr>
          <w:p w:rsidR="007C059D" w:rsidRPr="000402F9" w:rsidRDefault="007C059D" w:rsidP="00A570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Пересечение</w:t>
            </w:r>
          </w:p>
        </w:tc>
        <w:tc>
          <w:tcPr>
            <w:tcW w:w="2410" w:type="dxa"/>
          </w:tcPr>
          <w:p w:rsidR="007C059D" w:rsidRPr="000402F9" w:rsidRDefault="007C059D" w:rsidP="00A570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A ∩ B</w:t>
            </w:r>
          </w:p>
        </w:tc>
        <w:tc>
          <w:tcPr>
            <w:tcW w:w="4785" w:type="dxa"/>
          </w:tcPr>
          <w:p w:rsidR="007C059D" w:rsidRPr="000402F9" w:rsidRDefault="007C059D" w:rsidP="00A570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Элементы, принадлежащие и A, и B</w:t>
            </w:r>
          </w:p>
        </w:tc>
      </w:tr>
      <w:tr w:rsidR="007C059D" w:rsidRPr="000402F9" w:rsidTr="00A5702F">
        <w:tc>
          <w:tcPr>
            <w:tcW w:w="2376" w:type="dxa"/>
          </w:tcPr>
          <w:p w:rsidR="007C059D" w:rsidRPr="000402F9" w:rsidRDefault="007C059D" w:rsidP="00A570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Объединение</w:t>
            </w:r>
          </w:p>
        </w:tc>
        <w:tc>
          <w:tcPr>
            <w:tcW w:w="2410" w:type="dxa"/>
          </w:tcPr>
          <w:p w:rsidR="007C059D" w:rsidRPr="000402F9" w:rsidRDefault="007C059D" w:rsidP="00A570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 xml:space="preserve">A </w:t>
            </w:r>
            <w:r w:rsidRPr="000402F9">
              <w:rPr>
                <w:rFonts w:ascii="Cambria Math" w:hAnsi="Cambria Math" w:cs="Cambria Math"/>
                <w:sz w:val="28"/>
                <w:szCs w:val="28"/>
              </w:rPr>
              <w:t>∪</w:t>
            </w: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 xml:space="preserve"> B</w:t>
            </w:r>
          </w:p>
        </w:tc>
        <w:tc>
          <w:tcPr>
            <w:tcW w:w="4785" w:type="dxa"/>
          </w:tcPr>
          <w:p w:rsidR="007C059D" w:rsidRPr="000402F9" w:rsidRDefault="007C059D" w:rsidP="00A570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Элементы, принадлежащие A или B</w:t>
            </w:r>
          </w:p>
        </w:tc>
      </w:tr>
      <w:tr w:rsidR="007C059D" w:rsidRPr="000402F9" w:rsidTr="00A5702F">
        <w:tc>
          <w:tcPr>
            <w:tcW w:w="2376" w:type="dxa"/>
          </w:tcPr>
          <w:p w:rsidR="007C059D" w:rsidRPr="000402F9" w:rsidRDefault="007C059D" w:rsidP="00A570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Разность</w:t>
            </w:r>
          </w:p>
        </w:tc>
        <w:tc>
          <w:tcPr>
            <w:tcW w:w="2410" w:type="dxa"/>
          </w:tcPr>
          <w:p w:rsidR="007C059D" w:rsidRPr="000402F9" w:rsidRDefault="007C059D" w:rsidP="00A570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A \ B</w:t>
            </w:r>
          </w:p>
        </w:tc>
        <w:tc>
          <w:tcPr>
            <w:tcW w:w="4785" w:type="dxa"/>
          </w:tcPr>
          <w:p w:rsidR="007C059D" w:rsidRPr="000402F9" w:rsidRDefault="007C059D" w:rsidP="00A570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Элементы A, не принадлежащие B</w:t>
            </w:r>
          </w:p>
        </w:tc>
      </w:tr>
      <w:tr w:rsidR="007C059D" w:rsidRPr="000402F9" w:rsidTr="00A5702F">
        <w:tc>
          <w:tcPr>
            <w:tcW w:w="2376" w:type="dxa"/>
          </w:tcPr>
          <w:p w:rsidR="007C059D" w:rsidRPr="000402F9" w:rsidRDefault="007C059D" w:rsidP="00A570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Дополнение</w:t>
            </w:r>
          </w:p>
        </w:tc>
        <w:tc>
          <w:tcPr>
            <w:tcW w:w="2410" w:type="dxa"/>
          </w:tcPr>
          <w:p w:rsidR="007C059D" w:rsidRPr="000402F9" w:rsidRDefault="007C059D" w:rsidP="00A570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¬A</w:t>
            </w:r>
          </w:p>
        </w:tc>
        <w:tc>
          <w:tcPr>
            <w:tcW w:w="4785" w:type="dxa"/>
          </w:tcPr>
          <w:p w:rsidR="007C059D" w:rsidRPr="000402F9" w:rsidRDefault="007C059D" w:rsidP="00A5702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Элементы, не принадлежащие A</w:t>
            </w:r>
          </w:p>
        </w:tc>
      </w:tr>
    </w:tbl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III. Сущность опыта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  <w:t>Почему круги Эйлера эффективны</w:t>
      </w:r>
    </w:p>
    <w:p w:rsidR="000402F9" w:rsidRPr="000402F9" w:rsidRDefault="000402F9" w:rsidP="007C059D">
      <w:pPr>
        <w:pStyle w:val="a5"/>
        <w:numPr>
          <w:ilvl w:val="0"/>
          <w:numId w:val="18"/>
        </w:numPr>
        <w:shd w:val="clear" w:color="auto" w:fill="FFFFFF"/>
        <w:tabs>
          <w:tab w:val="left" w:pos="1134"/>
        </w:tabs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lastRenderedPageBreak/>
        <w:t>Наглядность.</w:t>
      </w: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Сложные логические связи становятся понятными на уровне образов.</w:t>
      </w:r>
    </w:p>
    <w:p w:rsidR="000402F9" w:rsidRPr="000402F9" w:rsidRDefault="000402F9" w:rsidP="007C059D">
      <w:pPr>
        <w:pStyle w:val="a5"/>
        <w:numPr>
          <w:ilvl w:val="0"/>
          <w:numId w:val="18"/>
        </w:numPr>
        <w:shd w:val="clear" w:color="auto" w:fill="FFFFFF"/>
        <w:tabs>
          <w:tab w:val="left" w:pos="1134"/>
        </w:tabs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Универсальность.</w:t>
      </w: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Работают на любом предмете (математика, информатика, литература, окружающий мир).</w:t>
      </w:r>
    </w:p>
    <w:p w:rsidR="000402F9" w:rsidRPr="000402F9" w:rsidRDefault="000402F9" w:rsidP="007C059D">
      <w:pPr>
        <w:pStyle w:val="a5"/>
        <w:numPr>
          <w:ilvl w:val="0"/>
          <w:numId w:val="18"/>
        </w:numPr>
        <w:shd w:val="clear" w:color="auto" w:fill="FFFFFF"/>
        <w:tabs>
          <w:tab w:val="left" w:pos="1134"/>
        </w:tabs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Развитие мышления.</w:t>
      </w: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Учат классифицировать, сравнивать, обобщать.</w:t>
      </w:r>
    </w:p>
    <w:p w:rsidR="000402F9" w:rsidRPr="000402F9" w:rsidRDefault="000402F9" w:rsidP="007C059D">
      <w:pPr>
        <w:pStyle w:val="a5"/>
        <w:numPr>
          <w:ilvl w:val="0"/>
          <w:numId w:val="18"/>
        </w:numPr>
        <w:shd w:val="clear" w:color="auto" w:fill="FFFFFF"/>
        <w:tabs>
          <w:tab w:val="left" w:pos="1134"/>
        </w:tabs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Подготовка к экзаменам.</w:t>
      </w: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Помогают решать задания ОГЭ и ЕГЭ на множества, вероятности и логику.</w:t>
      </w:r>
    </w:p>
    <w:p w:rsidR="000402F9" w:rsidRPr="000402F9" w:rsidRDefault="000402F9" w:rsidP="007C059D">
      <w:pPr>
        <w:pStyle w:val="a5"/>
        <w:numPr>
          <w:ilvl w:val="0"/>
          <w:numId w:val="18"/>
        </w:numPr>
        <w:shd w:val="clear" w:color="auto" w:fill="FFFFFF"/>
        <w:tabs>
          <w:tab w:val="left" w:pos="1134"/>
        </w:tabs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Интерактивность.</w:t>
      </w: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Ученики могут сами рисовать схемы, работая в группах.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  <w:t>Примеры образовательных ситуаций с использованием кругов Эйлера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u w:val="single"/>
          <w:lang w:eastAsia="ru-RU"/>
        </w:rPr>
        <w:t>Пример 1.</w:t>
      </w: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Математика, 5 класс. Тема «Делители и кратные»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Задача.</w:t>
      </w: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кругах Эйлера отметь числа, которые делятся на 2, делятся на 3 и делятся на 6.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Решение.</w:t>
      </w: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Ученики строят три круга и видят, что числа, делящиеся на 6, находятся в пересечении первых двух кругов.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Вывод.</w:t>
      </w: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Число делится на 6, если оно делится и на 2, и на 3.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u w:val="single"/>
          <w:lang w:eastAsia="ru-RU"/>
        </w:rPr>
        <w:t>Пример 2.</w:t>
      </w: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Математика, 6 класс. Тема «Проценты и диаграммы»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Задача.</w:t>
      </w: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классе 30 учеников. 18 человек занимаются спортом, 15 — музыкой, 10 — и спортом, и музыкой. </w:t>
      </w:r>
      <w:proofErr w:type="gramStart"/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Сколько учеников не занимаются</w:t>
      </w:r>
      <w:proofErr w:type="gramEnd"/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ни тем, ни другим?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Решение:</w:t>
      </w:r>
    </w:p>
    <w:p w:rsid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Рисуем два пересекающихся круга: «Спорт» и «Музыка».</w:t>
      </w:r>
    </w:p>
    <w:p w:rsidR="007C059D" w:rsidRDefault="007C059D" w:rsidP="003D5E97">
      <w:pPr>
        <w:shd w:val="clear" w:color="auto" w:fill="FFFFFF"/>
        <w:spacing w:before="240" w:after="24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lastRenderedPageBreak/>
        <w:drawing>
          <wp:inline distT="0" distB="0" distL="0" distR="0">
            <wp:extent cx="4174435" cy="2568917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уг эйлера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2261" cy="256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пересечение ставим 10.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круг «Спорт» вне пересечения ставим 18 − 10 = 8.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круг «Музыка» вне пересечения ставим 15 − 10 = 5.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Сумма: 8 + 10 + 5 = 23. 30 − 23 = 7.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Ответ.</w:t>
      </w: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7 учеников не занимаются ни спортом, ни музыкой.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u w:val="single"/>
          <w:lang w:eastAsia="ru-RU"/>
        </w:rPr>
        <w:t>Пример 3.</w:t>
      </w: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Информатика, 7 класс. Тема «Запросы в поисковых системах»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Задача.</w:t>
      </w: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библиотеке 100 книг. </w:t>
      </w:r>
      <w:proofErr w:type="gramStart"/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 них 60 — художественные, 40 — научные, 25 — и художественные, и научные.</w:t>
      </w:r>
      <w:proofErr w:type="gramEnd"/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Сколько книг не относятся</w:t>
      </w:r>
      <w:proofErr w:type="gramEnd"/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ни к тому, ни к другому жанру?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Решение.</w:t>
      </w: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Аналогично примеру 2.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  <w:t>Как внедрить круги Эйлера в образовательный процесс</w:t>
      </w:r>
    </w:p>
    <w:p w:rsidR="000402F9" w:rsidRPr="000402F9" w:rsidRDefault="000402F9" w:rsidP="000402F9">
      <w:pPr>
        <w:pStyle w:val="a5"/>
        <w:numPr>
          <w:ilvl w:val="0"/>
          <w:numId w:val="17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Начинать с простых задач (1–2 круга).</w:t>
      </w:r>
    </w:p>
    <w:p w:rsidR="000402F9" w:rsidRPr="000402F9" w:rsidRDefault="000402F9" w:rsidP="000402F9">
      <w:pPr>
        <w:pStyle w:val="a5"/>
        <w:numPr>
          <w:ilvl w:val="0"/>
          <w:numId w:val="17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Постепенно усложнять (3–4 круга).</w:t>
      </w:r>
    </w:p>
    <w:p w:rsidR="000402F9" w:rsidRPr="000402F9" w:rsidRDefault="000402F9" w:rsidP="000402F9">
      <w:pPr>
        <w:pStyle w:val="a5"/>
        <w:numPr>
          <w:ilvl w:val="0"/>
          <w:numId w:val="17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Использовать на разных предметах.</w:t>
      </w:r>
    </w:p>
    <w:p w:rsidR="000402F9" w:rsidRPr="000402F9" w:rsidRDefault="000402F9" w:rsidP="000402F9">
      <w:pPr>
        <w:pStyle w:val="a5"/>
        <w:numPr>
          <w:ilvl w:val="0"/>
          <w:numId w:val="17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Включать в проектные работы.</w:t>
      </w:r>
    </w:p>
    <w:p w:rsidR="000402F9" w:rsidRPr="000402F9" w:rsidRDefault="000402F9" w:rsidP="000402F9">
      <w:pPr>
        <w:pStyle w:val="a5"/>
        <w:numPr>
          <w:ilvl w:val="0"/>
          <w:numId w:val="17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Применять на внеурочных занятиях.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IV. Результативность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Опыт использования кругов Эйлера на уроках математики и информатики показал следующие результаты: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659"/>
      </w:tblGrid>
      <w:tr w:rsidR="000402F9" w:rsidRPr="000402F9" w:rsidTr="000402F9">
        <w:tc>
          <w:tcPr>
            <w:tcW w:w="4644" w:type="dxa"/>
          </w:tcPr>
          <w:p w:rsidR="000402F9" w:rsidRPr="000402F9" w:rsidRDefault="000402F9" w:rsidP="00040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2268" w:type="dxa"/>
          </w:tcPr>
          <w:p w:rsidR="000402F9" w:rsidRPr="000402F9" w:rsidRDefault="000402F9" w:rsidP="00040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b/>
                <w:sz w:val="28"/>
                <w:szCs w:val="28"/>
              </w:rPr>
              <w:t>До применения</w:t>
            </w:r>
          </w:p>
        </w:tc>
        <w:tc>
          <w:tcPr>
            <w:tcW w:w="2659" w:type="dxa"/>
          </w:tcPr>
          <w:p w:rsidR="000402F9" w:rsidRPr="000402F9" w:rsidRDefault="000402F9" w:rsidP="00040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b/>
                <w:sz w:val="28"/>
                <w:szCs w:val="28"/>
              </w:rPr>
              <w:t>После применения</w:t>
            </w:r>
          </w:p>
        </w:tc>
      </w:tr>
      <w:tr w:rsidR="000402F9" w:rsidRPr="000402F9" w:rsidTr="000402F9">
        <w:tc>
          <w:tcPr>
            <w:tcW w:w="4644" w:type="dxa"/>
          </w:tcPr>
          <w:p w:rsidR="000402F9" w:rsidRPr="000402F9" w:rsidRDefault="000402F9" w:rsidP="00A20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Решение логических задач (успешность)</w:t>
            </w:r>
          </w:p>
        </w:tc>
        <w:tc>
          <w:tcPr>
            <w:tcW w:w="2268" w:type="dxa"/>
          </w:tcPr>
          <w:p w:rsidR="000402F9" w:rsidRPr="000402F9" w:rsidRDefault="000402F9" w:rsidP="00A20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</w:tc>
        <w:tc>
          <w:tcPr>
            <w:tcW w:w="2659" w:type="dxa"/>
          </w:tcPr>
          <w:p w:rsidR="000402F9" w:rsidRPr="000402F9" w:rsidRDefault="000402F9" w:rsidP="00A20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</w:tr>
      <w:tr w:rsidR="000402F9" w:rsidRPr="000402F9" w:rsidTr="000402F9">
        <w:tc>
          <w:tcPr>
            <w:tcW w:w="4644" w:type="dxa"/>
          </w:tcPr>
          <w:p w:rsidR="000402F9" w:rsidRPr="000402F9" w:rsidRDefault="000402F9" w:rsidP="00815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Понимание понятия «множество»</w:t>
            </w:r>
          </w:p>
        </w:tc>
        <w:tc>
          <w:tcPr>
            <w:tcW w:w="2268" w:type="dxa"/>
          </w:tcPr>
          <w:p w:rsidR="000402F9" w:rsidRPr="000402F9" w:rsidRDefault="000402F9" w:rsidP="00815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52%</w:t>
            </w:r>
          </w:p>
        </w:tc>
        <w:tc>
          <w:tcPr>
            <w:tcW w:w="2659" w:type="dxa"/>
          </w:tcPr>
          <w:p w:rsidR="000402F9" w:rsidRPr="000402F9" w:rsidRDefault="000402F9" w:rsidP="00815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</w:tr>
      <w:tr w:rsidR="000402F9" w:rsidRPr="000402F9" w:rsidTr="000402F9">
        <w:tc>
          <w:tcPr>
            <w:tcW w:w="4644" w:type="dxa"/>
          </w:tcPr>
          <w:p w:rsidR="000402F9" w:rsidRPr="000402F9" w:rsidRDefault="000402F9" w:rsidP="00FD2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Умение классифицировать объекты</w:t>
            </w:r>
          </w:p>
        </w:tc>
        <w:tc>
          <w:tcPr>
            <w:tcW w:w="2268" w:type="dxa"/>
          </w:tcPr>
          <w:p w:rsidR="000402F9" w:rsidRPr="000402F9" w:rsidRDefault="000402F9" w:rsidP="00FD2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48%</w:t>
            </w:r>
          </w:p>
        </w:tc>
        <w:tc>
          <w:tcPr>
            <w:tcW w:w="2659" w:type="dxa"/>
          </w:tcPr>
          <w:p w:rsidR="000402F9" w:rsidRPr="000402F9" w:rsidRDefault="000402F9" w:rsidP="00FD2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</w:p>
        </w:tc>
      </w:tr>
      <w:tr w:rsidR="000402F9" w:rsidRPr="000402F9" w:rsidTr="000402F9">
        <w:tc>
          <w:tcPr>
            <w:tcW w:w="4644" w:type="dxa"/>
          </w:tcPr>
          <w:p w:rsidR="000402F9" w:rsidRPr="000402F9" w:rsidRDefault="000402F9" w:rsidP="004C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Интерес к решению нестандартных задач</w:t>
            </w:r>
          </w:p>
        </w:tc>
        <w:tc>
          <w:tcPr>
            <w:tcW w:w="2268" w:type="dxa"/>
          </w:tcPr>
          <w:p w:rsidR="000402F9" w:rsidRPr="000402F9" w:rsidRDefault="000402F9" w:rsidP="004C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  <w:tc>
          <w:tcPr>
            <w:tcW w:w="2659" w:type="dxa"/>
          </w:tcPr>
          <w:p w:rsidR="000402F9" w:rsidRPr="000402F9" w:rsidRDefault="000402F9" w:rsidP="004C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2F9"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</w:tc>
      </w:tr>
    </w:tbl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  <w:t>Ключевые результаты:</w:t>
      </w:r>
    </w:p>
    <w:p w:rsidR="000402F9" w:rsidRPr="000402F9" w:rsidRDefault="000402F9" w:rsidP="000402F9">
      <w:pPr>
        <w:pStyle w:val="a5"/>
        <w:numPr>
          <w:ilvl w:val="0"/>
          <w:numId w:val="15"/>
        </w:numPr>
        <w:shd w:val="clear" w:color="auto" w:fill="FFFFFF"/>
        <w:tabs>
          <w:tab w:val="left" w:pos="993"/>
        </w:tabs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Снижение доли учеников, испытывающих страх перед задачами на множества, с 32% до 9%.</w:t>
      </w:r>
    </w:p>
    <w:p w:rsidR="000402F9" w:rsidRPr="000402F9" w:rsidRDefault="000402F9" w:rsidP="000402F9">
      <w:pPr>
        <w:pStyle w:val="a5"/>
        <w:numPr>
          <w:ilvl w:val="0"/>
          <w:numId w:val="15"/>
        </w:numPr>
        <w:shd w:val="clear" w:color="auto" w:fill="FFFFFF"/>
        <w:tabs>
          <w:tab w:val="left" w:pos="993"/>
        </w:tabs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Повышение успеваемости по темам, связанным с логикой и классификацией, на 20–30%.</w:t>
      </w:r>
    </w:p>
    <w:p w:rsidR="000402F9" w:rsidRPr="000402F9" w:rsidRDefault="000402F9" w:rsidP="000402F9">
      <w:pPr>
        <w:pStyle w:val="a5"/>
        <w:numPr>
          <w:ilvl w:val="0"/>
          <w:numId w:val="15"/>
        </w:numPr>
        <w:shd w:val="clear" w:color="auto" w:fill="FFFFFF"/>
        <w:tabs>
          <w:tab w:val="left" w:pos="993"/>
        </w:tabs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Увеличение числа учеников, выбирающих задания повышенной сложности на ОГЭ и ЕГЭ, на 15%.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lang w:eastAsia="ru-RU"/>
        </w:rPr>
        <w:t>Круги Эйлера также помогают развивать у учеников:</w:t>
      </w:r>
    </w:p>
    <w:p w:rsidR="000402F9" w:rsidRPr="000402F9" w:rsidRDefault="000402F9" w:rsidP="000402F9">
      <w:pPr>
        <w:pStyle w:val="a5"/>
        <w:numPr>
          <w:ilvl w:val="0"/>
          <w:numId w:val="15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умение структурировать информацию;</w:t>
      </w:r>
    </w:p>
    <w:p w:rsidR="000402F9" w:rsidRPr="000402F9" w:rsidRDefault="000402F9" w:rsidP="000402F9">
      <w:pPr>
        <w:pStyle w:val="a5"/>
        <w:numPr>
          <w:ilvl w:val="0"/>
          <w:numId w:val="15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способность видеть причинно-следственные связи;</w:t>
      </w:r>
    </w:p>
    <w:p w:rsidR="000402F9" w:rsidRPr="000402F9" w:rsidRDefault="000402F9" w:rsidP="000402F9">
      <w:pPr>
        <w:pStyle w:val="a5"/>
        <w:numPr>
          <w:ilvl w:val="0"/>
          <w:numId w:val="15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навыки работы с понятиями и их классификацией;</w:t>
      </w:r>
    </w:p>
    <w:p w:rsidR="000402F9" w:rsidRPr="000402F9" w:rsidRDefault="000402F9" w:rsidP="000402F9">
      <w:pPr>
        <w:pStyle w:val="a5"/>
        <w:numPr>
          <w:ilvl w:val="0"/>
          <w:numId w:val="15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готовность к решению нестандартных задач.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V. Практическая значимость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Описанный опыт может быть использован:</w:t>
      </w:r>
    </w:p>
    <w:p w:rsidR="000402F9" w:rsidRPr="000402F9" w:rsidRDefault="000402F9" w:rsidP="000402F9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Учителями математики 5–9 классов при изучении тем, связанных с множествами, логикой и классификацией.</w:t>
      </w:r>
    </w:p>
    <w:p w:rsidR="000402F9" w:rsidRPr="000402F9" w:rsidRDefault="000402F9" w:rsidP="000402F9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Учителями информатики при изучении тем «Запросы в поисковых системах», «Алгоритмы и структуры данных».</w:t>
      </w:r>
    </w:p>
    <w:p w:rsidR="000402F9" w:rsidRPr="000402F9" w:rsidRDefault="000402F9" w:rsidP="000402F9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Педагогами дополнительного образования на занятиях по развитию логического мышления.</w:t>
      </w:r>
    </w:p>
    <w:p w:rsidR="000402F9" w:rsidRPr="000402F9" w:rsidRDefault="000402F9" w:rsidP="000402F9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внеурочных занятиях и в проектной деятельности.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Метод не требует специального оборудования и может быть применён в любом классе. Все приведённые примеры задач были апробированы на практике и показали высокую эффективность.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Заключение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Круги Эйлера — это простой, наглядный и эффективный инструмент для развития логического мышления школьников. Они помогают структурировать информацию, видеть связи между понятиями, решать нестандартные задачи и готовиться к экзаменам.</w:t>
      </w:r>
    </w:p>
    <w:p w:rsidR="000402F9" w:rsidRPr="000402F9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402F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Представленный метод может быть рекомендован к использованию в практике учителей математики, информатики и других предметов, где требуется развитие логического мышления и навыков работы с множествами и классификациями.</w:t>
      </w:r>
    </w:p>
    <w:p w:rsidR="000402F9" w:rsidRPr="007C059D" w:rsidRDefault="000402F9" w:rsidP="000402F9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7C059D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Список литературы:</w:t>
      </w:r>
    </w:p>
    <w:p w:rsidR="000402F9" w:rsidRPr="007C059D" w:rsidRDefault="000402F9" w:rsidP="007C059D">
      <w:pPr>
        <w:pStyle w:val="a5"/>
        <w:numPr>
          <w:ilvl w:val="0"/>
          <w:numId w:val="19"/>
        </w:numPr>
        <w:shd w:val="clear" w:color="auto" w:fill="FFFFFF"/>
        <w:tabs>
          <w:tab w:val="left" w:pos="1134"/>
        </w:tabs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C05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Эйлер Л. Письма к немецкой принцессе. — СПб</w:t>
      </w:r>
      <w:proofErr w:type="gramStart"/>
      <w:r w:rsidRPr="007C05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., </w:t>
      </w:r>
      <w:proofErr w:type="gramEnd"/>
      <w:r w:rsidRPr="007C05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1768.</w:t>
      </w:r>
    </w:p>
    <w:p w:rsidR="000402F9" w:rsidRPr="007C059D" w:rsidRDefault="000402F9" w:rsidP="007C059D">
      <w:pPr>
        <w:pStyle w:val="a5"/>
        <w:numPr>
          <w:ilvl w:val="0"/>
          <w:numId w:val="19"/>
        </w:numPr>
        <w:shd w:val="clear" w:color="auto" w:fill="FFFFFF"/>
        <w:tabs>
          <w:tab w:val="left" w:pos="1134"/>
        </w:tabs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C05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Венн Дж. Символическая логика. — М., 1881.</w:t>
      </w:r>
    </w:p>
    <w:p w:rsidR="000402F9" w:rsidRPr="007C059D" w:rsidRDefault="000402F9" w:rsidP="007C059D">
      <w:pPr>
        <w:pStyle w:val="a5"/>
        <w:numPr>
          <w:ilvl w:val="0"/>
          <w:numId w:val="19"/>
        </w:numPr>
        <w:shd w:val="clear" w:color="auto" w:fill="FFFFFF"/>
        <w:tabs>
          <w:tab w:val="left" w:pos="1134"/>
        </w:tabs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C05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Коджаспирова</w:t>
      </w:r>
      <w:proofErr w:type="spellEnd"/>
      <w:r w:rsidRPr="007C05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Г.М., </w:t>
      </w:r>
      <w:proofErr w:type="spellStart"/>
      <w:r w:rsidRPr="007C05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Коджаспиров</w:t>
      </w:r>
      <w:proofErr w:type="spellEnd"/>
      <w:r w:rsidRPr="007C05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А.Ю. Педагогический словарь. — М.: Академия, 2001.</w:t>
      </w:r>
    </w:p>
    <w:p w:rsidR="000402F9" w:rsidRPr="007C059D" w:rsidRDefault="000402F9" w:rsidP="007C059D">
      <w:pPr>
        <w:pStyle w:val="a5"/>
        <w:numPr>
          <w:ilvl w:val="0"/>
          <w:numId w:val="19"/>
        </w:numPr>
        <w:shd w:val="clear" w:color="auto" w:fill="FFFFFF"/>
        <w:tabs>
          <w:tab w:val="left" w:pos="1134"/>
        </w:tabs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C05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Сычева И.А. Круги Эйлера в курсе математики 6–9-х классов // Образование и воспитание. – 2024. – № 1 (47). – С. 12-14.</w:t>
      </w:r>
    </w:p>
    <w:sectPr w:rsidR="000402F9" w:rsidRPr="007C059D" w:rsidSect="007C059D">
      <w:footerReference w:type="default" r:id="rId9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0EF" w:rsidRDefault="006A40EF" w:rsidP="007C059D">
      <w:pPr>
        <w:spacing w:after="0" w:line="240" w:lineRule="auto"/>
      </w:pPr>
      <w:r>
        <w:separator/>
      </w:r>
    </w:p>
  </w:endnote>
  <w:endnote w:type="continuationSeparator" w:id="0">
    <w:p w:rsidR="006A40EF" w:rsidRDefault="006A40EF" w:rsidP="007C0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9776944"/>
      <w:docPartObj>
        <w:docPartGallery w:val="Page Numbers (Bottom of Page)"/>
        <w:docPartUnique/>
      </w:docPartObj>
    </w:sdtPr>
    <w:sdtEndPr/>
    <w:sdtContent>
      <w:p w:rsidR="007C059D" w:rsidRDefault="007C059D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D17">
          <w:rPr>
            <w:noProof/>
          </w:rPr>
          <w:t>1</w:t>
        </w:r>
        <w:r>
          <w:fldChar w:fldCharType="end"/>
        </w:r>
      </w:p>
    </w:sdtContent>
  </w:sdt>
  <w:p w:rsidR="007C059D" w:rsidRDefault="007C05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0EF" w:rsidRDefault="006A40EF" w:rsidP="007C059D">
      <w:pPr>
        <w:spacing w:after="0" w:line="240" w:lineRule="auto"/>
      </w:pPr>
      <w:r>
        <w:separator/>
      </w:r>
    </w:p>
  </w:footnote>
  <w:footnote w:type="continuationSeparator" w:id="0">
    <w:p w:rsidR="006A40EF" w:rsidRDefault="006A40EF" w:rsidP="007C0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4956"/>
    <w:multiLevelType w:val="multilevel"/>
    <w:tmpl w:val="7356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A6095"/>
    <w:multiLevelType w:val="hybridMultilevel"/>
    <w:tmpl w:val="080AA8A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01171D"/>
    <w:multiLevelType w:val="multilevel"/>
    <w:tmpl w:val="C8DA0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551109"/>
    <w:multiLevelType w:val="multilevel"/>
    <w:tmpl w:val="7510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BA614A"/>
    <w:multiLevelType w:val="multilevel"/>
    <w:tmpl w:val="5ED44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5F1B90"/>
    <w:multiLevelType w:val="hybridMultilevel"/>
    <w:tmpl w:val="DB4699B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7323B92"/>
    <w:multiLevelType w:val="multilevel"/>
    <w:tmpl w:val="03DC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3D4006"/>
    <w:multiLevelType w:val="multilevel"/>
    <w:tmpl w:val="B9DA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D03573"/>
    <w:multiLevelType w:val="multilevel"/>
    <w:tmpl w:val="8D98A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C44036"/>
    <w:multiLevelType w:val="hybridMultilevel"/>
    <w:tmpl w:val="86328C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E2813F5"/>
    <w:multiLevelType w:val="multilevel"/>
    <w:tmpl w:val="B906B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2931E1"/>
    <w:multiLevelType w:val="multilevel"/>
    <w:tmpl w:val="66A8D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FD47F9"/>
    <w:multiLevelType w:val="hybridMultilevel"/>
    <w:tmpl w:val="86328C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E121D17"/>
    <w:multiLevelType w:val="multilevel"/>
    <w:tmpl w:val="4ED81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43322E"/>
    <w:multiLevelType w:val="hybridMultilevel"/>
    <w:tmpl w:val="96B2D33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9E71BE3"/>
    <w:multiLevelType w:val="multilevel"/>
    <w:tmpl w:val="1D5C9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2A0194"/>
    <w:multiLevelType w:val="hybridMultilevel"/>
    <w:tmpl w:val="84949B7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D5E4D55"/>
    <w:multiLevelType w:val="hybridMultilevel"/>
    <w:tmpl w:val="1CCACC8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E903A22"/>
    <w:multiLevelType w:val="multilevel"/>
    <w:tmpl w:val="EC6EB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8"/>
  </w:num>
  <w:num w:numId="5">
    <w:abstractNumId w:val="0"/>
  </w:num>
  <w:num w:numId="6">
    <w:abstractNumId w:val="15"/>
  </w:num>
  <w:num w:numId="7">
    <w:abstractNumId w:val="7"/>
  </w:num>
  <w:num w:numId="8">
    <w:abstractNumId w:val="10"/>
  </w:num>
  <w:num w:numId="9">
    <w:abstractNumId w:val="2"/>
  </w:num>
  <w:num w:numId="10">
    <w:abstractNumId w:val="13"/>
  </w:num>
  <w:num w:numId="11">
    <w:abstractNumId w:val="8"/>
  </w:num>
  <w:num w:numId="12">
    <w:abstractNumId w:val="11"/>
  </w:num>
  <w:num w:numId="13">
    <w:abstractNumId w:val="1"/>
  </w:num>
  <w:num w:numId="14">
    <w:abstractNumId w:val="17"/>
  </w:num>
  <w:num w:numId="15">
    <w:abstractNumId w:val="5"/>
  </w:num>
  <w:num w:numId="16">
    <w:abstractNumId w:val="12"/>
  </w:num>
  <w:num w:numId="17">
    <w:abstractNumId w:val="14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1DD"/>
    <w:rsid w:val="000402F9"/>
    <w:rsid w:val="00207C22"/>
    <w:rsid w:val="003C41DD"/>
    <w:rsid w:val="003D5E97"/>
    <w:rsid w:val="00541125"/>
    <w:rsid w:val="00560732"/>
    <w:rsid w:val="006A40EF"/>
    <w:rsid w:val="00781E41"/>
    <w:rsid w:val="007C059D"/>
    <w:rsid w:val="00A350A9"/>
    <w:rsid w:val="00B10D17"/>
    <w:rsid w:val="00C929C6"/>
    <w:rsid w:val="00F279E8"/>
    <w:rsid w:val="00FF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1E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81E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81E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81E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E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E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1E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81E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78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81E41"/>
    <w:rPr>
      <w:b/>
      <w:bCs/>
    </w:rPr>
  </w:style>
  <w:style w:type="table" w:styleId="a4">
    <w:name w:val="Table Grid"/>
    <w:basedOn w:val="a1"/>
    <w:uiPriority w:val="59"/>
    <w:rsid w:val="00F27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402F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C0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059D"/>
  </w:style>
  <w:style w:type="paragraph" w:styleId="a8">
    <w:name w:val="footer"/>
    <w:basedOn w:val="a"/>
    <w:link w:val="a9"/>
    <w:uiPriority w:val="99"/>
    <w:unhideWhenUsed/>
    <w:rsid w:val="007C0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05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1E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81E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81E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81E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E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E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1E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81E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78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81E41"/>
    <w:rPr>
      <w:b/>
      <w:bCs/>
    </w:rPr>
  </w:style>
  <w:style w:type="table" w:styleId="a4">
    <w:name w:val="Table Grid"/>
    <w:basedOn w:val="a1"/>
    <w:uiPriority w:val="59"/>
    <w:rsid w:val="00F27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402F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C0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059D"/>
  </w:style>
  <w:style w:type="paragraph" w:styleId="a8">
    <w:name w:val="footer"/>
    <w:basedOn w:val="a"/>
    <w:link w:val="a9"/>
    <w:uiPriority w:val="99"/>
    <w:unhideWhenUsed/>
    <w:rsid w:val="007C0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0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8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8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0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01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21783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3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09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3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1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6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3868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8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7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0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8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4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2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2026-07-22T13:02:00Z</dcterms:created>
  <dcterms:modified xsi:type="dcterms:W3CDTF">2026-07-23T16:28:00Z</dcterms:modified>
</cp:coreProperties>
</file>