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7B" w:rsidRPr="00D8657E" w:rsidRDefault="00D8657E" w:rsidP="00D8657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57E">
        <w:rPr>
          <w:rFonts w:ascii="Times New Roman" w:hAnsi="Times New Roman" w:cs="Times New Roman"/>
          <w:i/>
          <w:sz w:val="24"/>
          <w:szCs w:val="24"/>
        </w:rPr>
        <w:t xml:space="preserve">Комова Любовь Николаевна, </w:t>
      </w:r>
    </w:p>
    <w:p w:rsidR="00D8657E" w:rsidRPr="00D8657E" w:rsidRDefault="00D8657E" w:rsidP="00D8657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bookmarkStart w:id="0" w:name="_GoBack"/>
      <w:bookmarkEnd w:id="0"/>
      <w:r w:rsidRPr="00D8657E">
        <w:rPr>
          <w:rFonts w:ascii="Times New Roman" w:hAnsi="Times New Roman" w:cs="Times New Roman"/>
          <w:i/>
          <w:sz w:val="24"/>
          <w:szCs w:val="24"/>
        </w:rPr>
        <w:t>оспитатель МАДОУ «Детский сад № 125»</w:t>
      </w:r>
    </w:p>
    <w:p w:rsidR="00D8657E" w:rsidRPr="00D8657E" w:rsidRDefault="00D8657E" w:rsidP="00D8657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57E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57E">
        <w:rPr>
          <w:rFonts w:ascii="Times New Roman" w:hAnsi="Times New Roman" w:cs="Times New Roman"/>
          <w:i/>
          <w:sz w:val="24"/>
          <w:szCs w:val="24"/>
        </w:rPr>
        <w:t>Череповец</w:t>
      </w:r>
    </w:p>
    <w:p w:rsidR="00772A75" w:rsidRDefault="00370FD0" w:rsidP="00772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75">
        <w:rPr>
          <w:rFonts w:ascii="Times New Roman" w:hAnsi="Times New Roman" w:cs="Times New Roman"/>
          <w:b/>
          <w:sz w:val="24"/>
          <w:szCs w:val="24"/>
        </w:rPr>
        <w:t xml:space="preserve">ИСПОЛЬЗОВАНИЕ СИНКВЕЙН ТЕХНОЛОГИИ </w:t>
      </w:r>
    </w:p>
    <w:p w:rsidR="00370FD0" w:rsidRPr="00772A75" w:rsidRDefault="00370FD0" w:rsidP="00772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75">
        <w:rPr>
          <w:rFonts w:ascii="Times New Roman" w:hAnsi="Times New Roman" w:cs="Times New Roman"/>
          <w:b/>
          <w:sz w:val="24"/>
          <w:szCs w:val="24"/>
        </w:rPr>
        <w:t>В</w:t>
      </w:r>
      <w:r w:rsidR="0077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A75">
        <w:rPr>
          <w:rFonts w:ascii="Times New Roman" w:hAnsi="Times New Roman" w:cs="Times New Roman"/>
          <w:b/>
          <w:sz w:val="24"/>
          <w:szCs w:val="24"/>
        </w:rPr>
        <w:t xml:space="preserve">РАЗВИТИИ РЕЧИ </w:t>
      </w:r>
      <w:r w:rsidR="00772A75"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</w:t>
      </w:r>
    </w:p>
    <w:p w:rsidR="00370FD0" w:rsidRPr="00772A75" w:rsidRDefault="00772A75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0FD0" w:rsidRPr="00772A75">
        <w:rPr>
          <w:rFonts w:ascii="Times New Roman" w:hAnsi="Times New Roman" w:cs="Times New Roman"/>
          <w:sz w:val="24"/>
          <w:szCs w:val="24"/>
        </w:rPr>
        <w:t>Одним из эффективных</w:t>
      </w:r>
      <w:r>
        <w:rPr>
          <w:rFonts w:ascii="Times New Roman" w:hAnsi="Times New Roman" w:cs="Times New Roman"/>
          <w:sz w:val="24"/>
          <w:szCs w:val="24"/>
        </w:rPr>
        <w:t xml:space="preserve"> методов развития речи ребенка дошкольника</w:t>
      </w:r>
      <w:r w:rsidRPr="00772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является работа над созданием нерифмованного стихотворения —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>.</w:t>
      </w:r>
    </w:p>
    <w:p w:rsidR="00370FD0" w:rsidRPr="00772A75" w:rsidRDefault="00772A75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370FD0" w:rsidRPr="00772A75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французского языка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переводится как «пять строк»,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пятистрочная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строфа стихотворения.</w:t>
      </w:r>
    </w:p>
    <w:p w:rsidR="00370FD0" w:rsidRPr="00772A75" w:rsidRDefault="00772A75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70FD0" w:rsidRPr="00772A75">
        <w:rPr>
          <w:rFonts w:ascii="Times New Roman" w:hAnsi="Times New Roman" w:cs="Times New Roman"/>
          <w:sz w:val="24"/>
          <w:szCs w:val="24"/>
        </w:rPr>
        <w:t>Эта технология не требует особых условий его применения и органично вписывается в работу по ра</w:t>
      </w:r>
      <w:r>
        <w:rPr>
          <w:rFonts w:ascii="Times New Roman" w:hAnsi="Times New Roman" w:cs="Times New Roman"/>
          <w:sz w:val="24"/>
          <w:szCs w:val="24"/>
        </w:rPr>
        <w:t xml:space="preserve">звитию лексико — грамматических </w:t>
      </w:r>
      <w:r w:rsidR="00370FD0" w:rsidRPr="00772A75">
        <w:rPr>
          <w:rFonts w:ascii="Times New Roman" w:hAnsi="Times New Roman" w:cs="Times New Roman"/>
          <w:sz w:val="24"/>
          <w:szCs w:val="24"/>
        </w:rPr>
        <w:t>категорий, способствует обогащению и актуализации словаря, уточняет содержание понятий, дает возмо</w:t>
      </w:r>
      <w:r>
        <w:rPr>
          <w:rFonts w:ascii="Times New Roman" w:hAnsi="Times New Roman" w:cs="Times New Roman"/>
          <w:sz w:val="24"/>
          <w:szCs w:val="24"/>
        </w:rPr>
        <w:t xml:space="preserve">жность педагогу оценить уровень </w:t>
      </w:r>
      <w:r w:rsidR="00370FD0" w:rsidRPr="00772A75">
        <w:rPr>
          <w:rFonts w:ascii="Times New Roman" w:hAnsi="Times New Roman" w:cs="Times New Roman"/>
          <w:sz w:val="24"/>
          <w:szCs w:val="24"/>
        </w:rPr>
        <w:t>усвоения ребенком пройденного материа</w:t>
      </w:r>
      <w:r>
        <w:rPr>
          <w:rFonts w:ascii="Times New Roman" w:hAnsi="Times New Roman" w:cs="Times New Roman"/>
          <w:sz w:val="24"/>
          <w:szCs w:val="24"/>
        </w:rPr>
        <w:t xml:space="preserve">ла, носит характер комплексного </w:t>
      </w:r>
      <w:r w:rsidR="00370FD0" w:rsidRPr="00772A75">
        <w:rPr>
          <w:rFonts w:ascii="Times New Roman" w:hAnsi="Times New Roman" w:cs="Times New Roman"/>
          <w:sz w:val="24"/>
          <w:szCs w:val="24"/>
        </w:rPr>
        <w:t>воздействия, не только развива</w:t>
      </w:r>
      <w:r>
        <w:rPr>
          <w:rFonts w:ascii="Times New Roman" w:hAnsi="Times New Roman" w:cs="Times New Roman"/>
          <w:sz w:val="24"/>
          <w:szCs w:val="24"/>
        </w:rPr>
        <w:t xml:space="preserve">я речь, но способствуя развитию </w:t>
      </w:r>
      <w:r w:rsidR="00370FD0" w:rsidRPr="00772A75">
        <w:rPr>
          <w:rFonts w:ascii="Times New Roman" w:hAnsi="Times New Roman" w:cs="Times New Roman"/>
          <w:sz w:val="24"/>
          <w:szCs w:val="24"/>
        </w:rPr>
        <w:t>высших психических функций (памяти, внимания, мышления), п</w:t>
      </w:r>
      <w:r>
        <w:rPr>
          <w:rFonts w:ascii="Times New Roman" w:hAnsi="Times New Roman" w:cs="Times New Roman"/>
          <w:sz w:val="24"/>
          <w:szCs w:val="24"/>
        </w:rPr>
        <w:t xml:space="preserve">озволяет ребенку быть активным, </w:t>
      </w:r>
      <w:r w:rsidR="00370FD0" w:rsidRPr="00772A75">
        <w:rPr>
          <w:rFonts w:ascii="Times New Roman" w:hAnsi="Times New Roman" w:cs="Times New Roman"/>
          <w:sz w:val="24"/>
          <w:szCs w:val="24"/>
        </w:rPr>
        <w:t>творческим участником образовательного процесса.</w:t>
      </w:r>
      <w:proofErr w:type="gramEnd"/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A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 xml:space="preserve"> р </w:t>
      </w:r>
      <w:r w:rsidR="00772A75">
        <w:rPr>
          <w:rFonts w:ascii="Times New Roman" w:hAnsi="Times New Roman" w:cs="Times New Roman"/>
          <w:sz w:val="24"/>
          <w:szCs w:val="24"/>
        </w:rPr>
        <w:t xml:space="preserve">а в и л а с о с т а в л е н и я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>.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— Первая строка — одно слово,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обычно существительное, отражающее главную идею.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— Вторая строка — два слова,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прилагательные, описывающие основную мысль.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— Третья строка — три слова,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глаголы, описывающие действия в рамках темы.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— Четвертая строка — фраза </w:t>
      </w:r>
      <w:proofErr w:type="gramStart"/>
      <w:r w:rsidRPr="00772A7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нескольких слов, </w:t>
      </w:r>
      <w:proofErr w:type="gramStart"/>
      <w:r w:rsidRPr="00772A75">
        <w:rPr>
          <w:rFonts w:ascii="Times New Roman" w:hAnsi="Times New Roman" w:cs="Times New Roman"/>
          <w:sz w:val="24"/>
          <w:szCs w:val="24"/>
        </w:rPr>
        <w:t>показывающая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 xml:space="preserve"> отношение к теме.</w:t>
      </w:r>
    </w:p>
    <w:p w:rsidR="00814AD7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— Пятая строка — слова, связанные с первым, отражающие сущ</w:t>
      </w:r>
      <w:r w:rsidR="00814AD7">
        <w:rPr>
          <w:rFonts w:ascii="Times New Roman" w:hAnsi="Times New Roman" w:cs="Times New Roman"/>
          <w:sz w:val="24"/>
          <w:szCs w:val="24"/>
        </w:rPr>
        <w:t>ность темы (ассоциативный ряд).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FD0" w:rsidRPr="00772A75">
        <w:rPr>
          <w:rFonts w:ascii="Times New Roman" w:hAnsi="Times New Roman" w:cs="Times New Roman"/>
          <w:sz w:val="24"/>
          <w:szCs w:val="24"/>
        </w:rPr>
        <w:t>Эта технология универсальна.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AD7">
        <w:rPr>
          <w:rFonts w:ascii="Times New Roman" w:hAnsi="Times New Roman" w:cs="Times New Roman"/>
          <w:i/>
          <w:sz w:val="24"/>
          <w:szCs w:val="24"/>
        </w:rPr>
        <w:t>Цель:</w:t>
      </w:r>
      <w:r w:rsidRPr="00772A75">
        <w:rPr>
          <w:rFonts w:ascii="Times New Roman" w:hAnsi="Times New Roman" w:cs="Times New Roman"/>
          <w:sz w:val="24"/>
          <w:szCs w:val="24"/>
        </w:rPr>
        <w:t xml:space="preserve"> добиться более глубоко</w:t>
      </w:r>
      <w:r w:rsidR="00814AD7">
        <w:rPr>
          <w:rFonts w:ascii="Times New Roman" w:hAnsi="Times New Roman" w:cs="Times New Roman"/>
          <w:sz w:val="24"/>
          <w:szCs w:val="24"/>
        </w:rPr>
        <w:t xml:space="preserve">го осмысления вопроса, проверить </w:t>
      </w:r>
      <w:r w:rsidRPr="00772A75">
        <w:rPr>
          <w:rFonts w:ascii="Times New Roman" w:hAnsi="Times New Roman" w:cs="Times New Roman"/>
          <w:sz w:val="24"/>
          <w:szCs w:val="24"/>
        </w:rPr>
        <w:t>умение детей кратко и точно выразить свои мысли на заданную тему.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0FD0" w:rsidRPr="00772A75">
        <w:rPr>
          <w:rFonts w:ascii="Times New Roman" w:hAnsi="Times New Roman" w:cs="Times New Roman"/>
          <w:sz w:val="24"/>
          <w:szCs w:val="24"/>
        </w:rPr>
        <w:t>Актуальность и целесообразность использования дидактичес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70FD0" w:rsidRPr="00772A75">
        <w:rPr>
          <w:rFonts w:ascii="Times New Roman" w:hAnsi="Times New Roman" w:cs="Times New Roman"/>
          <w:sz w:val="24"/>
          <w:szCs w:val="24"/>
        </w:rPr>
        <w:t>практике объясняется тем, что:</w:t>
      </w:r>
    </w:p>
    <w:p w:rsidR="00814AD7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— Новая технология — открывает новые в</w:t>
      </w:r>
      <w:r w:rsidR="00814AD7">
        <w:rPr>
          <w:rFonts w:ascii="Times New Roman" w:hAnsi="Times New Roman" w:cs="Times New Roman"/>
          <w:sz w:val="24"/>
          <w:szCs w:val="24"/>
        </w:rPr>
        <w:t xml:space="preserve">озможности, </w:t>
      </w:r>
      <w:r w:rsidRPr="00772A75">
        <w:rPr>
          <w:rFonts w:ascii="Times New Roman" w:hAnsi="Times New Roman" w:cs="Times New Roman"/>
          <w:sz w:val="24"/>
          <w:szCs w:val="24"/>
        </w:rPr>
        <w:t>характеризу</w:t>
      </w:r>
      <w:r w:rsidR="00814AD7">
        <w:rPr>
          <w:rFonts w:ascii="Times New Roman" w:hAnsi="Times New Roman" w:cs="Times New Roman"/>
          <w:sz w:val="24"/>
          <w:szCs w:val="24"/>
        </w:rPr>
        <w:t xml:space="preserve">ются поиском и внедрением новых </w:t>
      </w:r>
      <w:r w:rsidRPr="00772A75">
        <w:rPr>
          <w:rFonts w:ascii="Times New Roman" w:hAnsi="Times New Roman" w:cs="Times New Roman"/>
          <w:sz w:val="24"/>
          <w:szCs w:val="24"/>
        </w:rPr>
        <w:t>эффективных технол</w:t>
      </w:r>
      <w:r w:rsidR="00814AD7">
        <w:rPr>
          <w:rFonts w:ascii="Times New Roman" w:hAnsi="Times New Roman" w:cs="Times New Roman"/>
          <w:sz w:val="24"/>
          <w:szCs w:val="24"/>
        </w:rPr>
        <w:t>огий, помогающих оптимизировать работу воспитателя.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Способствует обогащению </w:t>
      </w:r>
      <w:r w:rsidR="00370FD0" w:rsidRPr="00772A75">
        <w:rPr>
          <w:rFonts w:ascii="Times New Roman" w:hAnsi="Times New Roman" w:cs="Times New Roman"/>
          <w:sz w:val="24"/>
          <w:szCs w:val="24"/>
        </w:rPr>
        <w:t>и актуализации словаря, уточняет содержание понятий.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Является диагностическим </w:t>
      </w:r>
      <w:r w:rsidR="00370FD0" w:rsidRPr="00772A75">
        <w:rPr>
          <w:rFonts w:ascii="Times New Roman" w:hAnsi="Times New Roman" w:cs="Times New Roman"/>
          <w:sz w:val="24"/>
          <w:szCs w:val="24"/>
        </w:rPr>
        <w:t>инструментом, даёт возможность педагогу оценить уровень усвоения ребёнком пройденного материала.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Носит характер комплексного </w:t>
      </w:r>
      <w:r w:rsidR="00370FD0" w:rsidRPr="00772A75">
        <w:rPr>
          <w:rFonts w:ascii="Times New Roman" w:hAnsi="Times New Roman" w:cs="Times New Roman"/>
          <w:sz w:val="24"/>
          <w:szCs w:val="24"/>
        </w:rPr>
        <w:t>воздействия, не только развивает речь, но способствует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памяти, внимания, мышления</w:t>
      </w:r>
      <w:r w:rsidR="00370FD0" w:rsidRPr="00772A75">
        <w:rPr>
          <w:rFonts w:ascii="Times New Roman" w:hAnsi="Times New Roman" w:cs="Times New Roman"/>
          <w:sz w:val="24"/>
          <w:szCs w:val="24"/>
        </w:rPr>
        <w:t>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Предварительная работа по созданию речевой базы для составления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со старши</w:t>
      </w:r>
      <w:r>
        <w:rPr>
          <w:rFonts w:ascii="Times New Roman" w:hAnsi="Times New Roman" w:cs="Times New Roman"/>
          <w:sz w:val="24"/>
          <w:szCs w:val="24"/>
        </w:rPr>
        <w:t xml:space="preserve">ми дошкольниками, имеющими ОНР, </w:t>
      </w:r>
      <w:r w:rsidR="00370FD0" w:rsidRPr="00772A75">
        <w:rPr>
          <w:rFonts w:ascii="Times New Roman" w:hAnsi="Times New Roman" w:cs="Times New Roman"/>
          <w:sz w:val="24"/>
          <w:szCs w:val="24"/>
        </w:rPr>
        <w:t>основывается на той части программы Т.Б. Филичевой и Г.В. Чиркиной «Устранение общего недоразвития речи у детей дошкольного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возраста», </w:t>
      </w:r>
      <w:proofErr w:type="gramStart"/>
      <w:r w:rsidRPr="00772A7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 xml:space="preserve"> касается развития лексико — г</w:t>
      </w:r>
      <w:r w:rsidR="00814AD7">
        <w:rPr>
          <w:rFonts w:ascii="Times New Roman" w:hAnsi="Times New Roman" w:cs="Times New Roman"/>
          <w:sz w:val="24"/>
          <w:szCs w:val="24"/>
        </w:rPr>
        <w:t xml:space="preserve">рамматических </w:t>
      </w:r>
      <w:r w:rsidRPr="00772A75">
        <w:rPr>
          <w:rFonts w:ascii="Times New Roman" w:hAnsi="Times New Roman" w:cs="Times New Roman"/>
          <w:sz w:val="24"/>
          <w:szCs w:val="24"/>
        </w:rPr>
        <w:t>средств языка и связной речи.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конце первого года обучения </w:t>
      </w:r>
      <w:r w:rsidR="00370FD0" w:rsidRPr="00772A75">
        <w:rPr>
          <w:rFonts w:ascii="Times New Roman" w:hAnsi="Times New Roman" w:cs="Times New Roman"/>
          <w:sz w:val="24"/>
          <w:szCs w:val="24"/>
        </w:rPr>
        <w:t>большинство старших дошкольников постепенно овладевают</w:t>
      </w:r>
      <w:r>
        <w:rPr>
          <w:rFonts w:ascii="Times New Roman" w:hAnsi="Times New Roman" w:cs="Times New Roman"/>
          <w:sz w:val="24"/>
          <w:szCs w:val="24"/>
        </w:rPr>
        <w:t xml:space="preserve"> навыком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FD0" w:rsidRPr="00772A75">
        <w:rPr>
          <w:rFonts w:ascii="Times New Roman" w:hAnsi="Times New Roman" w:cs="Times New Roman"/>
          <w:sz w:val="24"/>
          <w:szCs w:val="24"/>
        </w:rPr>
        <w:t>упражняясь в подборе действий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и признаков к предметам, соверше</w:t>
      </w:r>
      <w:r w:rsidR="00814AD7">
        <w:rPr>
          <w:rFonts w:ascii="Times New Roman" w:hAnsi="Times New Roman" w:cs="Times New Roman"/>
          <w:sz w:val="24"/>
          <w:szCs w:val="24"/>
        </w:rPr>
        <w:t xml:space="preserve">нствуя способность к обобщению, </w:t>
      </w:r>
      <w:r w:rsidRPr="00772A75">
        <w:rPr>
          <w:rFonts w:ascii="Times New Roman" w:hAnsi="Times New Roman" w:cs="Times New Roman"/>
          <w:sz w:val="24"/>
          <w:szCs w:val="24"/>
        </w:rPr>
        <w:t>расширяя и уточняя словарный запас, работая с предложением.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составлять на </w:t>
      </w:r>
      <w:r w:rsidR="00370FD0" w:rsidRPr="00772A75">
        <w:rPr>
          <w:rFonts w:ascii="Times New Roman" w:hAnsi="Times New Roman" w:cs="Times New Roman"/>
          <w:sz w:val="24"/>
          <w:szCs w:val="24"/>
        </w:rPr>
        <w:t>индивидуальных и групповых занятия</w:t>
      </w:r>
      <w:r>
        <w:rPr>
          <w:rFonts w:ascii="Times New Roman" w:hAnsi="Times New Roman" w:cs="Times New Roman"/>
          <w:sz w:val="24"/>
          <w:szCs w:val="24"/>
        </w:rPr>
        <w:t xml:space="preserve">х, занятиях с одной группой или </w:t>
      </w:r>
      <w:r w:rsidR="00370FD0" w:rsidRPr="00772A75">
        <w:rPr>
          <w:rFonts w:ascii="Times New Roman" w:hAnsi="Times New Roman" w:cs="Times New Roman"/>
          <w:sz w:val="24"/>
          <w:szCs w:val="24"/>
        </w:rPr>
        <w:t>в двух подгруппах одновременно.</w:t>
      </w:r>
    </w:p>
    <w:p w:rsidR="00370FD0" w:rsidRPr="00772A75" w:rsidRDefault="00814AD7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70FD0" w:rsidRPr="00772A75">
        <w:rPr>
          <w:rFonts w:ascii="Times New Roman" w:hAnsi="Times New Roman" w:cs="Times New Roman"/>
          <w:sz w:val="24"/>
          <w:szCs w:val="24"/>
        </w:rPr>
        <w:t>Дети, умеющие печатать, могут созд</w:t>
      </w:r>
      <w:r>
        <w:rPr>
          <w:rFonts w:ascii="Times New Roman" w:hAnsi="Times New Roman" w:cs="Times New Roman"/>
          <w:sz w:val="24"/>
          <w:szCs w:val="24"/>
        </w:rPr>
        <w:t xml:space="preserve">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листе бумаги, </w:t>
      </w:r>
      <w:r w:rsidR="00370FD0" w:rsidRPr="00772A75">
        <w:rPr>
          <w:rFonts w:ascii="Times New Roman" w:hAnsi="Times New Roman" w:cs="Times New Roman"/>
          <w:sz w:val="24"/>
          <w:szCs w:val="24"/>
        </w:rPr>
        <w:t>не умеющие — в виде устных соч</w:t>
      </w:r>
      <w:r>
        <w:rPr>
          <w:rFonts w:ascii="Times New Roman" w:hAnsi="Times New Roman" w:cs="Times New Roman"/>
          <w:sz w:val="24"/>
          <w:szCs w:val="24"/>
        </w:rPr>
        <w:t xml:space="preserve">инений с опорой на схему. Можно </w:t>
      </w:r>
      <w:r w:rsidR="00370FD0" w:rsidRPr="00772A75">
        <w:rPr>
          <w:rFonts w:ascii="Times New Roman" w:hAnsi="Times New Roman" w:cs="Times New Roman"/>
          <w:sz w:val="24"/>
          <w:szCs w:val="24"/>
        </w:rPr>
        <w:t>дать работу на дом для совместной деятельности ребенка и родителей: нарисоват</w:t>
      </w:r>
      <w:r>
        <w:rPr>
          <w:rFonts w:ascii="Times New Roman" w:hAnsi="Times New Roman" w:cs="Times New Roman"/>
          <w:sz w:val="24"/>
          <w:szCs w:val="24"/>
        </w:rPr>
        <w:t xml:space="preserve">ь предмет и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0FD0" w:rsidRPr="00772A75">
        <w:rPr>
          <w:rFonts w:ascii="Times New Roman" w:hAnsi="Times New Roman" w:cs="Times New Roman"/>
          <w:sz w:val="24"/>
          <w:szCs w:val="24"/>
        </w:rPr>
        <w:t>Могут быть использованы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варианты работы: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составление краткого рассказа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по готовому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синквейну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(с использованием слов и фраз,</w:t>
      </w:r>
      <w:proofErr w:type="gramEnd"/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>);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70FD0" w:rsidRPr="00772A75">
        <w:rPr>
          <w:rFonts w:ascii="Times New Roman" w:hAnsi="Times New Roman" w:cs="Times New Roman"/>
          <w:sz w:val="24"/>
          <w:szCs w:val="24"/>
        </w:rPr>
        <w:t>прослушанному рассказу;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— коррекция и совершенствование </w:t>
      </w:r>
      <w:proofErr w:type="gramStart"/>
      <w:r w:rsidRPr="00772A75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>;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анализ неполного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для определения отсутствующей части (например, дан</w:t>
      </w:r>
      <w:proofErr w:type="gramEnd"/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указания темы, первой строки — на основе </w:t>
      </w:r>
      <w:r w:rsidR="00370FD0" w:rsidRPr="00772A75">
        <w:rPr>
          <w:rFonts w:ascii="Times New Roman" w:hAnsi="Times New Roman" w:cs="Times New Roman"/>
          <w:sz w:val="24"/>
          <w:szCs w:val="24"/>
        </w:rPr>
        <w:t>существующих строк необходимо ее определить).</w:t>
      </w:r>
      <w:proofErr w:type="gramEnd"/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полезно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закрепления изученной </w:t>
      </w:r>
      <w:r w:rsidR="00370FD0" w:rsidRPr="00772A75">
        <w:rPr>
          <w:rFonts w:ascii="Times New Roman" w:hAnsi="Times New Roman" w:cs="Times New Roman"/>
          <w:sz w:val="24"/>
          <w:szCs w:val="24"/>
        </w:rPr>
        <w:t>лексической темы.</w:t>
      </w:r>
    </w:p>
    <w:p w:rsidR="00370FD0" w:rsidRPr="00350D7B" w:rsidRDefault="00350D7B" w:rsidP="00772A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D7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70FD0" w:rsidRPr="00350D7B">
        <w:rPr>
          <w:rFonts w:ascii="Times New Roman" w:hAnsi="Times New Roman" w:cs="Times New Roman"/>
          <w:i/>
          <w:sz w:val="24"/>
          <w:szCs w:val="24"/>
        </w:rPr>
        <w:t>В зимнем лесу живет белый пушистый заяц. Жизнь у зайца трудная, он боится волка и лису, увиде</w:t>
      </w:r>
      <w:r>
        <w:rPr>
          <w:rFonts w:ascii="Times New Roman" w:hAnsi="Times New Roman" w:cs="Times New Roman"/>
          <w:i/>
          <w:sz w:val="24"/>
          <w:szCs w:val="24"/>
        </w:rPr>
        <w:t xml:space="preserve">в их, прячется или убегает. Мне </w:t>
      </w:r>
      <w:r w:rsidR="00370FD0" w:rsidRPr="00350D7B">
        <w:rPr>
          <w:rFonts w:ascii="Times New Roman" w:hAnsi="Times New Roman" w:cs="Times New Roman"/>
          <w:i/>
          <w:sz w:val="24"/>
          <w:szCs w:val="24"/>
        </w:rPr>
        <w:t>жалко зайца. Зимой диким животным жить трудно.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творческом использовании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на занятиях он воспринимается дошкольниками как увле</w:t>
      </w:r>
      <w:r>
        <w:rPr>
          <w:rFonts w:ascii="Times New Roman" w:hAnsi="Times New Roman" w:cs="Times New Roman"/>
          <w:sz w:val="24"/>
          <w:szCs w:val="24"/>
        </w:rPr>
        <w:t xml:space="preserve">кательная игра, как возможность </w:t>
      </w:r>
      <w:r w:rsidR="00370FD0" w:rsidRPr="00772A7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разить свое мнение, согласиться </w:t>
      </w:r>
      <w:r w:rsidR="00370FD0" w:rsidRPr="00772A75">
        <w:rPr>
          <w:rFonts w:ascii="Times New Roman" w:hAnsi="Times New Roman" w:cs="Times New Roman"/>
          <w:sz w:val="24"/>
          <w:szCs w:val="24"/>
        </w:rPr>
        <w:t>или нет с мнением других, договориться.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0FD0" w:rsidRPr="00772A75">
        <w:rPr>
          <w:rFonts w:ascii="Times New Roman" w:hAnsi="Times New Roman" w:cs="Times New Roman"/>
          <w:sz w:val="24"/>
          <w:szCs w:val="24"/>
        </w:rPr>
        <w:t>Эффективность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быстром </w:t>
      </w:r>
      <w:r w:rsidR="00370FD0" w:rsidRPr="00772A75">
        <w:rPr>
          <w:rFonts w:ascii="Times New Roman" w:hAnsi="Times New Roman" w:cs="Times New Roman"/>
          <w:sz w:val="24"/>
          <w:szCs w:val="24"/>
        </w:rPr>
        <w:t>получении результата и закреплении его, облегчении процесса усвоения понятий и их содержания,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A75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 xml:space="preserve"> и актуализации словарного запаса, обучении выражать свои мысли, подбирать нужн</w:t>
      </w:r>
      <w:r w:rsidR="00350D7B">
        <w:rPr>
          <w:rFonts w:ascii="Times New Roman" w:hAnsi="Times New Roman" w:cs="Times New Roman"/>
          <w:sz w:val="24"/>
          <w:szCs w:val="24"/>
        </w:rPr>
        <w:t xml:space="preserve">ые слова, выработке способности </w:t>
      </w:r>
      <w:r w:rsidRPr="00772A75">
        <w:rPr>
          <w:rFonts w:ascii="Times New Roman" w:hAnsi="Times New Roman" w:cs="Times New Roman"/>
          <w:sz w:val="24"/>
          <w:szCs w:val="24"/>
        </w:rPr>
        <w:t>к анализу.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требует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составителя реализации практически всех его личностных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(интеллектуальных, творческих, </w:t>
      </w:r>
      <w:r w:rsidR="00370FD0" w:rsidRPr="00772A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бразных).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полезно для выработки у детей способности к анализу. Использование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A75">
        <w:rPr>
          <w:rFonts w:ascii="Times New Roman" w:hAnsi="Times New Roman" w:cs="Times New Roman"/>
          <w:sz w:val="24"/>
          <w:szCs w:val="24"/>
        </w:rPr>
        <w:t>дидактического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 xml:space="preserve"> на занятиях позволяет логопеду гармон</w:t>
      </w:r>
      <w:r w:rsidR="00350D7B">
        <w:rPr>
          <w:rFonts w:ascii="Times New Roman" w:hAnsi="Times New Roman" w:cs="Times New Roman"/>
          <w:sz w:val="24"/>
          <w:szCs w:val="24"/>
        </w:rPr>
        <w:t xml:space="preserve">ично сочетать в работе элементы </w:t>
      </w:r>
      <w:r w:rsidRPr="00772A75">
        <w:rPr>
          <w:rFonts w:ascii="Times New Roman" w:hAnsi="Times New Roman" w:cs="Times New Roman"/>
          <w:sz w:val="24"/>
          <w:szCs w:val="24"/>
        </w:rPr>
        <w:t xml:space="preserve">трех основных образовательных систем: информационной,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 xml:space="preserve"> и личностно — ориентир</w:t>
      </w:r>
      <w:r w:rsidR="00350D7B">
        <w:rPr>
          <w:rFonts w:ascii="Times New Roman" w:hAnsi="Times New Roman" w:cs="Times New Roman"/>
          <w:sz w:val="24"/>
          <w:szCs w:val="24"/>
        </w:rPr>
        <w:t xml:space="preserve">ованной, что особенно актуально </w:t>
      </w:r>
      <w:r w:rsidRPr="00772A75">
        <w:rPr>
          <w:rFonts w:ascii="Times New Roman" w:hAnsi="Times New Roman" w:cs="Times New Roman"/>
          <w:sz w:val="24"/>
          <w:szCs w:val="24"/>
        </w:rPr>
        <w:t>в условиях работы с детьми с особыми образовательными потребностями.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Различные вариации для составления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способствуют разн</w:t>
      </w:r>
      <w:r>
        <w:rPr>
          <w:rFonts w:ascii="Times New Roman" w:hAnsi="Times New Roman" w:cs="Times New Roman"/>
          <w:sz w:val="24"/>
          <w:szCs w:val="24"/>
        </w:rPr>
        <w:t xml:space="preserve">оплановому составлению заданий. На первых порах предусматриваем </w:t>
      </w:r>
      <w:r w:rsidR="00370FD0" w:rsidRPr="00772A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составлении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детьми в парах, в малых группах </w:t>
      </w:r>
      <w:r w:rsidR="00370FD0" w:rsidRPr="00772A75">
        <w:rPr>
          <w:rFonts w:ascii="Times New Roman" w:hAnsi="Times New Roman" w:cs="Times New Roman"/>
          <w:sz w:val="24"/>
          <w:szCs w:val="24"/>
        </w:rPr>
        <w:t>и только затем — индивидуально.</w:t>
      </w:r>
    </w:p>
    <w:p w:rsidR="00370FD0" w:rsidRPr="00350D7B" w:rsidRDefault="00370FD0" w:rsidP="00772A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7B">
        <w:rPr>
          <w:rFonts w:ascii="Times New Roman" w:hAnsi="Times New Roman" w:cs="Times New Roman"/>
          <w:b/>
          <w:sz w:val="24"/>
          <w:szCs w:val="24"/>
        </w:rPr>
        <w:t>Советы педагогам: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2A75">
        <w:rPr>
          <w:rFonts w:ascii="Times New Roman" w:hAnsi="Times New Roman" w:cs="Times New Roman"/>
          <w:sz w:val="24"/>
          <w:szCs w:val="24"/>
        </w:rPr>
        <w:t xml:space="preserve">Начиная учить детей составлять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</w:t>
      </w:r>
      <w:r w:rsidR="00350D7B">
        <w:rPr>
          <w:rFonts w:ascii="Times New Roman" w:hAnsi="Times New Roman" w:cs="Times New Roman"/>
          <w:sz w:val="24"/>
          <w:szCs w:val="24"/>
        </w:rPr>
        <w:t>ейны</w:t>
      </w:r>
      <w:proofErr w:type="spellEnd"/>
      <w:r w:rsidR="00350D7B">
        <w:rPr>
          <w:rFonts w:ascii="Times New Roman" w:hAnsi="Times New Roman" w:cs="Times New Roman"/>
          <w:sz w:val="24"/>
          <w:szCs w:val="24"/>
        </w:rPr>
        <w:t xml:space="preserve"> предложите </w:t>
      </w:r>
      <w:r w:rsidRPr="00772A75">
        <w:rPr>
          <w:rFonts w:ascii="Times New Roman" w:hAnsi="Times New Roman" w:cs="Times New Roman"/>
          <w:sz w:val="24"/>
          <w:szCs w:val="24"/>
        </w:rPr>
        <w:t>детям составить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на тему, хорошо им з</w:t>
      </w:r>
      <w:r w:rsidR="00350D7B">
        <w:rPr>
          <w:rFonts w:ascii="Times New Roman" w:hAnsi="Times New Roman" w:cs="Times New Roman"/>
          <w:sz w:val="24"/>
          <w:szCs w:val="24"/>
        </w:rPr>
        <w:t xml:space="preserve">накомую («Семья», «Детский сад» </w:t>
      </w:r>
      <w:r w:rsidRPr="00772A75">
        <w:rPr>
          <w:rFonts w:ascii="Times New Roman" w:hAnsi="Times New Roman" w:cs="Times New Roman"/>
          <w:sz w:val="24"/>
          <w:szCs w:val="24"/>
        </w:rPr>
        <w:t>и т. д.)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Необходимо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поощрять</w:t>
      </w:r>
      <w:r w:rsidR="00370FD0" w:rsidRPr="00772A75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0FD0" w:rsidRPr="00772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FD0" w:rsidRPr="00772A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содержится наиболее точная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различных сторон </w:t>
      </w:r>
      <w:r w:rsidR="00370FD0" w:rsidRPr="00772A75">
        <w:rPr>
          <w:rFonts w:ascii="Times New Roman" w:hAnsi="Times New Roman" w:cs="Times New Roman"/>
          <w:sz w:val="24"/>
          <w:szCs w:val="24"/>
        </w:rPr>
        <w:t>темы или предмета.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На любой непосредственно образов</w:t>
      </w:r>
      <w:r w:rsidR="00350D7B">
        <w:rPr>
          <w:rFonts w:ascii="Times New Roman" w:hAnsi="Times New Roman" w:cs="Times New Roman"/>
          <w:sz w:val="24"/>
          <w:szCs w:val="24"/>
        </w:rPr>
        <w:t xml:space="preserve">ательной деятельности дети получают от нас информацию, знакомятся с новыми терминами, </w:t>
      </w:r>
      <w:r w:rsidRPr="00772A75">
        <w:rPr>
          <w:rFonts w:ascii="Times New Roman" w:hAnsi="Times New Roman" w:cs="Times New Roman"/>
          <w:sz w:val="24"/>
          <w:szCs w:val="24"/>
        </w:rPr>
        <w:t>учатся делать выводы, искать вз</w:t>
      </w:r>
      <w:r w:rsidR="00350D7B">
        <w:rPr>
          <w:rFonts w:ascii="Times New Roman" w:hAnsi="Times New Roman" w:cs="Times New Roman"/>
          <w:sz w:val="24"/>
          <w:szCs w:val="24"/>
        </w:rPr>
        <w:t xml:space="preserve">аимосвязи. Способность изложить </w:t>
      </w:r>
      <w:r w:rsidRPr="00772A75">
        <w:rPr>
          <w:rFonts w:ascii="Times New Roman" w:hAnsi="Times New Roman" w:cs="Times New Roman"/>
          <w:sz w:val="24"/>
          <w:szCs w:val="24"/>
        </w:rPr>
        <w:t>информацию, сложные идеи, чувства и представления в несколь</w:t>
      </w:r>
      <w:r w:rsidR="00350D7B">
        <w:rPr>
          <w:rFonts w:ascii="Times New Roman" w:hAnsi="Times New Roman" w:cs="Times New Roman"/>
          <w:sz w:val="24"/>
          <w:szCs w:val="24"/>
        </w:rPr>
        <w:t xml:space="preserve">ких словах очень важное умение. </w:t>
      </w:r>
      <w:r w:rsidRPr="00772A75">
        <w:rPr>
          <w:rFonts w:ascii="Times New Roman" w:hAnsi="Times New Roman" w:cs="Times New Roman"/>
          <w:sz w:val="24"/>
          <w:szCs w:val="24"/>
        </w:rPr>
        <w:t>Оно требует вдумчивой рефлексии, основанной на богатом понятийном запасе и смысле.</w:t>
      </w:r>
    </w:p>
    <w:p w:rsidR="00370FD0" w:rsidRPr="00772A75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 xml:space="preserve"> — это не способ прове</w:t>
      </w:r>
      <w:r>
        <w:rPr>
          <w:rFonts w:ascii="Times New Roman" w:hAnsi="Times New Roman" w:cs="Times New Roman"/>
          <w:sz w:val="24"/>
          <w:szCs w:val="24"/>
        </w:rPr>
        <w:t xml:space="preserve">рки знаний детей, это способ на любом этапе занятия, изучения </w:t>
      </w:r>
      <w:r w:rsidR="00370FD0" w:rsidRPr="00772A75">
        <w:rPr>
          <w:rFonts w:ascii="Times New Roman" w:hAnsi="Times New Roman" w:cs="Times New Roman"/>
          <w:sz w:val="24"/>
          <w:szCs w:val="24"/>
        </w:rPr>
        <w:t>темы, проверить, что находится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у воспитанников на уровне ассоциаций.</w:t>
      </w:r>
    </w:p>
    <w:p w:rsidR="00370FD0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К примеру: </w:t>
      </w:r>
      <w:r w:rsidR="00370FD0" w:rsidRPr="00772A75">
        <w:rPr>
          <w:rFonts w:ascii="Times New Roman" w:hAnsi="Times New Roman" w:cs="Times New Roman"/>
          <w:sz w:val="24"/>
          <w:szCs w:val="24"/>
        </w:rPr>
        <w:t>Начало непосредственно образовательной деятельности. Приступая к изучению новой темы, обычно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спрашиваем: «А что вы уже знаете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об этом? Что думаете? Как относитесь?» Проанализировав полученные результаты, корректируем представления детей о данном понятии.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Изучение темы завершено. Качество, глубину и прочность знаний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наших детей показывает итоговый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контрольный срез. А сейчас, в завершении занятия —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>. Достойный итог изучения нового материала, который продемонстрирует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 xml:space="preserve">не столько знания, сколько понимание, оценочные суждения, </w:t>
      </w:r>
      <w:r w:rsidR="00370FD0" w:rsidRPr="00772A75">
        <w:rPr>
          <w:rFonts w:ascii="Times New Roman" w:hAnsi="Times New Roman" w:cs="Times New Roman"/>
          <w:sz w:val="24"/>
          <w:szCs w:val="24"/>
        </w:rPr>
        <w:lastRenderedPageBreak/>
        <w:t>ценностные ориентации детей. В конечном итоге, при детальном анализе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0FD0" w:rsidRPr="00772A75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370FD0" w:rsidRPr="00772A75">
        <w:rPr>
          <w:rFonts w:ascii="Times New Roman" w:hAnsi="Times New Roman" w:cs="Times New Roman"/>
          <w:sz w:val="24"/>
          <w:szCs w:val="24"/>
        </w:rPr>
        <w:t>, легко увидеть, насколько удалось педагогу достичь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FD0" w:rsidRPr="00772A75">
        <w:rPr>
          <w:rFonts w:ascii="Times New Roman" w:hAnsi="Times New Roman" w:cs="Times New Roman"/>
          <w:sz w:val="24"/>
          <w:szCs w:val="24"/>
        </w:rPr>
        <w:t>планируемого результата.</w:t>
      </w:r>
    </w:p>
    <w:p w:rsidR="00350D7B" w:rsidRDefault="00350D7B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D7B" w:rsidRPr="00350D7B" w:rsidRDefault="00350D7B" w:rsidP="00772A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FD0" w:rsidRPr="00350D7B" w:rsidRDefault="00370FD0" w:rsidP="00772A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7B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370FD0" w:rsidRPr="00772A75" w:rsidRDefault="00370FD0" w:rsidP="007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1. Терентьева Н.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 xml:space="preserve"> по «Котловану», Журнал «Первое сентября», № 4</w:t>
      </w:r>
    </w:p>
    <w:p w:rsidR="00370FD0" w:rsidRPr="00772A75" w:rsidRDefault="00370FD0" w:rsidP="00772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(2006).</w:t>
      </w:r>
    </w:p>
    <w:p w:rsidR="00370FD0" w:rsidRPr="00772A75" w:rsidRDefault="00370FD0" w:rsidP="00772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2. Душка Н.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 xml:space="preserve"> в работе с дошкольниками», Журнал «Логопед» № 5 (2005).</w:t>
      </w:r>
    </w:p>
    <w:p w:rsidR="00370FD0" w:rsidRPr="00772A75" w:rsidRDefault="00370FD0" w:rsidP="00772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 xml:space="preserve">3. Элементы инновационных технологий (кафедра </w:t>
      </w:r>
      <w:proofErr w:type="spellStart"/>
      <w:r w:rsidRPr="00772A75">
        <w:rPr>
          <w:rFonts w:ascii="Times New Roman" w:hAnsi="Times New Roman" w:cs="Times New Roman"/>
          <w:sz w:val="24"/>
          <w:szCs w:val="24"/>
        </w:rPr>
        <w:t>МедБио</w:t>
      </w:r>
      <w:proofErr w:type="spellEnd"/>
      <w:r w:rsidRPr="00772A75">
        <w:rPr>
          <w:rFonts w:ascii="Times New Roman" w:hAnsi="Times New Roman" w:cs="Times New Roman"/>
          <w:sz w:val="24"/>
          <w:szCs w:val="24"/>
        </w:rPr>
        <w:t xml:space="preserve"> КГМУ).</w:t>
      </w:r>
    </w:p>
    <w:p w:rsidR="00A239EC" w:rsidRPr="00772A75" w:rsidRDefault="00370FD0" w:rsidP="00772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75">
        <w:rPr>
          <w:rFonts w:ascii="Times New Roman" w:hAnsi="Times New Roman" w:cs="Times New Roman"/>
          <w:sz w:val="24"/>
          <w:szCs w:val="24"/>
        </w:rPr>
        <w:t>4. Акименко В.М. Новые педагогические технологии: Учеб</w:t>
      </w:r>
      <w:proofErr w:type="gramStart"/>
      <w:r w:rsidRPr="00772A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72A75">
        <w:rPr>
          <w:rFonts w:ascii="Times New Roman" w:hAnsi="Times New Roman" w:cs="Times New Roman"/>
          <w:sz w:val="24"/>
          <w:szCs w:val="24"/>
        </w:rPr>
        <w:t>метод. пособие. Ростов н/Д., 2008</w:t>
      </w:r>
    </w:p>
    <w:sectPr w:rsidR="00A239EC" w:rsidRPr="0077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0"/>
    <w:rsid w:val="00350D7B"/>
    <w:rsid w:val="00370FD0"/>
    <w:rsid w:val="006A6409"/>
    <w:rsid w:val="00712DDE"/>
    <w:rsid w:val="00772A75"/>
    <w:rsid w:val="00814AD7"/>
    <w:rsid w:val="00D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2022-01-11T07:59:00Z</dcterms:created>
  <dcterms:modified xsi:type="dcterms:W3CDTF">2022-01-11T08:40:00Z</dcterms:modified>
</cp:coreProperties>
</file>