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1CBD" w:rsidRPr="00CE3A8D" w:rsidRDefault="00C71C61" w:rsidP="00CE3A8D">
      <w:pPr>
        <w:widowControl w:val="0"/>
        <w:tabs>
          <w:tab w:val="left" w:pos="1003"/>
        </w:tabs>
        <w:spacing w:after="100" w:afterAutospacing="1"/>
        <w:jc w:val="center"/>
        <w:rPr>
          <w:rFonts w:ascii="Arial" w:hAnsi="Arial" w:cs="Arial"/>
          <w:b/>
          <w:sz w:val="28"/>
          <w:szCs w:val="28"/>
        </w:rPr>
      </w:pPr>
      <w:r w:rsidRPr="00BB435D">
        <w:rPr>
          <w:rFonts w:ascii="Arial" w:hAnsi="Arial" w:cs="Arial"/>
          <w:b/>
          <w:sz w:val="28"/>
          <w:szCs w:val="28"/>
        </w:rPr>
        <w:t>«Развитие толерантности у дошкольников в процессе организации  этнокультурных игр»</w:t>
      </w:r>
    </w:p>
    <w:p w:rsidR="009C1982" w:rsidRPr="00BB435D" w:rsidRDefault="00C71C61" w:rsidP="008829C8">
      <w:pPr>
        <w:spacing w:after="100" w:afterAutospacing="1"/>
        <w:rPr>
          <w:rFonts w:ascii="Arial" w:hAnsi="Arial" w:cs="Arial"/>
          <w:sz w:val="28"/>
          <w:szCs w:val="28"/>
        </w:rPr>
      </w:pPr>
      <w:r w:rsidRPr="00BB435D">
        <w:rPr>
          <w:rFonts w:ascii="Arial" w:hAnsi="Arial" w:cs="Arial"/>
          <w:sz w:val="28"/>
          <w:szCs w:val="28"/>
        </w:rPr>
        <w:t xml:space="preserve">В системе дошкольного образования проблема нравственно-патриотического воспитания обозначена как никогда остро. </w:t>
      </w:r>
    </w:p>
    <w:p w:rsidR="00C71C61" w:rsidRPr="00CE3A8D" w:rsidRDefault="00C71C61" w:rsidP="00CE3A8D">
      <w:pPr>
        <w:spacing w:after="100" w:afterAutospacing="1"/>
        <w:ind w:firstLine="709"/>
        <w:jc w:val="both"/>
        <w:rPr>
          <w:rFonts w:ascii="Arial" w:eastAsia="Times New Roman" w:hAnsi="Arial" w:cs="Arial"/>
          <w:sz w:val="28"/>
          <w:szCs w:val="28"/>
          <w:lang w:eastAsia="ru-RU"/>
        </w:rPr>
      </w:pPr>
      <w:r w:rsidRPr="00BB435D">
        <w:rPr>
          <w:rFonts w:ascii="Arial" w:eastAsia="Times New Roman" w:hAnsi="Arial" w:cs="Arial"/>
          <w:sz w:val="28"/>
          <w:szCs w:val="28"/>
          <w:lang w:eastAsia="ru-RU"/>
        </w:rPr>
        <w:t>Толерантность считается признаком высокого духовного и интеллектуального развития индивидуума, группы, общества в целом. Она полностью соответствует тем гуманитарным задачам, которые ставит перед нами новый век в новом тысячелетии.</w:t>
      </w:r>
    </w:p>
    <w:p w:rsidR="00C71C61" w:rsidRPr="00BB435D" w:rsidRDefault="00C71C61" w:rsidP="008829C8">
      <w:pPr>
        <w:spacing w:after="100" w:afterAutospacing="1"/>
        <w:rPr>
          <w:rFonts w:ascii="Arial" w:hAnsi="Arial" w:cs="Arial"/>
          <w:sz w:val="28"/>
          <w:szCs w:val="28"/>
        </w:rPr>
      </w:pPr>
      <w:r w:rsidRPr="00BB435D">
        <w:rPr>
          <w:rFonts w:ascii="Arial" w:hAnsi="Arial" w:cs="Arial"/>
          <w:sz w:val="28"/>
          <w:szCs w:val="28"/>
        </w:rPr>
        <w:t>Знание истории своего народа, родной культуры поможет в дальнейшем с большим вниманием и интересом отнестись к истории и культуре других народов.</w:t>
      </w:r>
    </w:p>
    <w:p w:rsidR="005D5B83" w:rsidRPr="00BB435D" w:rsidRDefault="005D5B83" w:rsidP="008829C8">
      <w:pPr>
        <w:spacing w:after="100" w:afterAutospacing="1"/>
        <w:ind w:firstLine="709"/>
        <w:jc w:val="both"/>
        <w:rPr>
          <w:rFonts w:ascii="Arial" w:hAnsi="Arial" w:cs="Arial"/>
          <w:sz w:val="28"/>
          <w:szCs w:val="28"/>
        </w:rPr>
      </w:pPr>
      <w:r w:rsidRPr="00BB435D">
        <w:rPr>
          <w:rFonts w:ascii="Arial" w:hAnsi="Arial" w:cs="Arial"/>
          <w:sz w:val="28"/>
          <w:szCs w:val="28"/>
        </w:rPr>
        <w:t>Следует исходить из того, что основа толерантности – формирование гуманных отношений между людьми независимо от их национальности.</w:t>
      </w:r>
    </w:p>
    <w:p w:rsidR="009B0364" w:rsidRPr="00BB435D" w:rsidRDefault="005D5B83" w:rsidP="008829C8">
      <w:pPr>
        <w:spacing w:after="100" w:afterAutospacing="1"/>
        <w:ind w:firstLine="709"/>
        <w:jc w:val="both"/>
        <w:rPr>
          <w:rFonts w:ascii="Arial" w:hAnsi="Arial" w:cs="Arial"/>
          <w:sz w:val="28"/>
          <w:szCs w:val="28"/>
        </w:rPr>
      </w:pPr>
      <w:r w:rsidRPr="00BB435D">
        <w:rPr>
          <w:rFonts w:ascii="Arial" w:hAnsi="Arial" w:cs="Arial"/>
          <w:sz w:val="28"/>
          <w:szCs w:val="28"/>
        </w:rPr>
        <w:t>Таким образом, воспитание толерантности ставит целью приобщать дошкольников к общечеловеческим ценностям, формировать гуманные отношения  между людьми разной национальности. Поэтому содержание воспитания толерантности у детей должно  включать воспитание толерантности, путем проведения мероприятий, раскрывающих особенности   разных национальностей и культур.</w:t>
      </w:r>
    </w:p>
    <w:p w:rsidR="009B0364" w:rsidRPr="00BB435D" w:rsidRDefault="005D5B83" w:rsidP="00CE3A8D">
      <w:pPr>
        <w:spacing w:after="100" w:afterAutospacing="1"/>
        <w:ind w:firstLine="709"/>
        <w:jc w:val="both"/>
        <w:rPr>
          <w:rFonts w:ascii="Arial" w:hAnsi="Arial" w:cs="Arial"/>
          <w:sz w:val="28"/>
          <w:szCs w:val="28"/>
        </w:rPr>
      </w:pPr>
      <w:r w:rsidRPr="00BB435D">
        <w:rPr>
          <w:rFonts w:ascii="Arial" w:hAnsi="Arial" w:cs="Arial"/>
          <w:sz w:val="28"/>
          <w:szCs w:val="28"/>
        </w:rPr>
        <w:t>Игра — естественный спутник жизни ребенка, источник радостных эмоций, обладающий великой воспитательной силой. Народные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
    <w:p w:rsidR="00A01CBD" w:rsidRPr="00BB435D" w:rsidRDefault="005D5B83" w:rsidP="008829C8">
      <w:pPr>
        <w:spacing w:after="100" w:afterAutospacing="1"/>
        <w:ind w:firstLine="709"/>
        <w:jc w:val="both"/>
        <w:rPr>
          <w:rFonts w:ascii="Arial" w:hAnsi="Arial" w:cs="Arial"/>
          <w:sz w:val="28"/>
          <w:szCs w:val="28"/>
        </w:rPr>
      </w:pPr>
      <w:r w:rsidRPr="00BB435D">
        <w:rPr>
          <w:rFonts w:ascii="Arial" w:hAnsi="Arial" w:cs="Arial"/>
          <w:sz w:val="28"/>
          <w:szCs w:val="28"/>
        </w:rPr>
        <w:t xml:space="preserve">Достоинства игрового метода в том, что игра вызывает повышенный интерес детей, они действуют с эмоциональным подъемом, значительно меньше устают. Таким образом, каждая тема подкрепляется различными играми, продуктивными видами деятельности. Использовались дидактические игры, как например: «Кто в какой стране живет», «Иностранец», «Узнай наш герб» (флаг, гимн); </w:t>
      </w:r>
      <w:r w:rsidRPr="00BB435D">
        <w:rPr>
          <w:rFonts w:ascii="Arial" w:hAnsi="Arial" w:cs="Arial"/>
          <w:sz w:val="28"/>
          <w:szCs w:val="28"/>
        </w:rPr>
        <w:lastRenderedPageBreak/>
        <w:t>настольные: «Каков мастер, такова и работа», «Чей хвост, чья голова», «С какого дерева листок», «Зеленая аптека»; сюжетно-ролевые: «Башня мира», «Готовимся к празднику», «Детский сад». Большинство развивающих игр позволяло как нам, взрослым, так и детям составлять новые варианты заданий, т.е. заниматься творческой деятельностью. Игровые технологии, ориентированные на этнокультурное воспитание, предполагали комплекс игр, объединенных одной сюжетной линией, одной темой. Это были дидактические («Собери куклу на праздник», «Что лишнее?» и др.), подвижные народные игры, сюжетно-ролевые игры («Путешествие по родному краю», Встречаем гостей»).</w:t>
      </w:r>
      <w:r w:rsidR="00A01CBD" w:rsidRPr="00BB435D">
        <w:rPr>
          <w:rFonts w:ascii="Arial" w:hAnsi="Arial" w:cs="Arial"/>
          <w:sz w:val="28"/>
          <w:szCs w:val="28"/>
        </w:rPr>
        <w:t xml:space="preserve"> Народные  игры как:</w:t>
      </w:r>
    </w:p>
    <w:p w:rsidR="00A01CBD" w:rsidRPr="00BB435D" w:rsidRDefault="00A01CBD" w:rsidP="008829C8">
      <w:pPr>
        <w:pStyle w:val="a3"/>
        <w:numPr>
          <w:ilvl w:val="0"/>
          <w:numId w:val="1"/>
        </w:numPr>
        <w:spacing w:after="100" w:afterAutospacing="1"/>
        <w:jc w:val="both"/>
        <w:rPr>
          <w:rFonts w:ascii="Arial" w:hAnsi="Arial" w:cs="Arial"/>
          <w:sz w:val="28"/>
          <w:szCs w:val="28"/>
        </w:rPr>
      </w:pPr>
      <w:r w:rsidRPr="00BB435D">
        <w:rPr>
          <w:rFonts w:ascii="Arial" w:hAnsi="Arial" w:cs="Arial"/>
          <w:sz w:val="28"/>
          <w:szCs w:val="28"/>
        </w:rPr>
        <w:t>Обыкновенные жмурки (русская народная игра);</w:t>
      </w:r>
    </w:p>
    <w:p w:rsidR="00A01CBD" w:rsidRPr="00BB435D" w:rsidRDefault="00A01CBD" w:rsidP="008829C8">
      <w:pPr>
        <w:pStyle w:val="a3"/>
        <w:numPr>
          <w:ilvl w:val="0"/>
          <w:numId w:val="1"/>
        </w:numPr>
        <w:spacing w:after="100" w:afterAutospacing="1"/>
        <w:jc w:val="both"/>
        <w:rPr>
          <w:rFonts w:ascii="Arial" w:hAnsi="Arial" w:cs="Arial"/>
          <w:sz w:val="28"/>
          <w:szCs w:val="28"/>
        </w:rPr>
      </w:pPr>
      <w:r w:rsidRPr="00BB435D">
        <w:rPr>
          <w:rFonts w:ascii="Arial" w:hAnsi="Arial" w:cs="Arial"/>
          <w:sz w:val="28"/>
          <w:szCs w:val="28"/>
        </w:rPr>
        <w:t>Гуси-лебеди (русская народная игра);</w:t>
      </w:r>
    </w:p>
    <w:p w:rsidR="00A01CBD" w:rsidRPr="00BB435D" w:rsidRDefault="00A01CBD" w:rsidP="008829C8">
      <w:pPr>
        <w:spacing w:after="100" w:afterAutospacing="1"/>
        <w:ind w:firstLine="709"/>
        <w:jc w:val="both"/>
        <w:rPr>
          <w:rFonts w:ascii="Arial" w:hAnsi="Arial" w:cs="Arial"/>
          <w:sz w:val="28"/>
          <w:szCs w:val="28"/>
        </w:rPr>
      </w:pPr>
      <w:r w:rsidRPr="00BB435D">
        <w:rPr>
          <w:rFonts w:ascii="Arial" w:hAnsi="Arial" w:cs="Arial"/>
          <w:sz w:val="28"/>
          <w:szCs w:val="28"/>
        </w:rPr>
        <w:t xml:space="preserve">4. </w:t>
      </w:r>
      <w:proofErr w:type="spellStart"/>
      <w:r w:rsidRPr="00BB435D">
        <w:rPr>
          <w:rFonts w:ascii="Arial" w:hAnsi="Arial" w:cs="Arial"/>
          <w:sz w:val="28"/>
          <w:szCs w:val="28"/>
        </w:rPr>
        <w:t>Биляша</w:t>
      </w:r>
      <w:proofErr w:type="spellEnd"/>
      <w:r w:rsidRPr="00BB435D">
        <w:rPr>
          <w:rFonts w:ascii="Arial" w:hAnsi="Arial" w:cs="Arial"/>
          <w:sz w:val="28"/>
          <w:szCs w:val="28"/>
        </w:rPr>
        <w:t xml:space="preserve"> (Марийская народная игра – катание мяча);</w:t>
      </w:r>
    </w:p>
    <w:p w:rsidR="00A01CBD" w:rsidRPr="00BB435D" w:rsidRDefault="00A01CBD" w:rsidP="008829C8">
      <w:pPr>
        <w:spacing w:after="100" w:afterAutospacing="1"/>
        <w:ind w:firstLine="709"/>
        <w:jc w:val="both"/>
        <w:rPr>
          <w:rFonts w:ascii="Arial" w:hAnsi="Arial" w:cs="Arial"/>
          <w:sz w:val="28"/>
          <w:szCs w:val="28"/>
        </w:rPr>
      </w:pPr>
      <w:r w:rsidRPr="00BB435D">
        <w:rPr>
          <w:rFonts w:ascii="Arial" w:hAnsi="Arial" w:cs="Arial"/>
          <w:sz w:val="28"/>
          <w:szCs w:val="28"/>
        </w:rPr>
        <w:t>5. Продаем горшки (Татарская народная игра);</w:t>
      </w:r>
    </w:p>
    <w:p w:rsidR="00A01CBD" w:rsidRPr="00BB435D" w:rsidRDefault="00A01CBD" w:rsidP="008829C8">
      <w:pPr>
        <w:spacing w:after="100" w:afterAutospacing="1"/>
        <w:ind w:firstLine="709"/>
        <w:jc w:val="both"/>
        <w:rPr>
          <w:rFonts w:ascii="Arial" w:hAnsi="Arial" w:cs="Arial"/>
          <w:sz w:val="28"/>
          <w:szCs w:val="28"/>
        </w:rPr>
      </w:pPr>
      <w:r w:rsidRPr="00BB435D">
        <w:rPr>
          <w:rFonts w:ascii="Arial" w:hAnsi="Arial" w:cs="Arial"/>
          <w:sz w:val="28"/>
          <w:szCs w:val="28"/>
        </w:rPr>
        <w:t>6. Хищник в море (чувашская народная игра);</w:t>
      </w:r>
    </w:p>
    <w:p w:rsidR="00A01CBD" w:rsidRPr="00BB435D" w:rsidRDefault="00A01CBD" w:rsidP="008829C8">
      <w:pPr>
        <w:spacing w:after="100" w:afterAutospacing="1"/>
        <w:ind w:firstLine="709"/>
        <w:jc w:val="both"/>
        <w:rPr>
          <w:rFonts w:ascii="Arial" w:hAnsi="Arial" w:cs="Arial"/>
          <w:sz w:val="28"/>
          <w:szCs w:val="28"/>
        </w:rPr>
      </w:pPr>
      <w:r w:rsidRPr="00BB435D">
        <w:rPr>
          <w:rFonts w:ascii="Arial" w:hAnsi="Arial" w:cs="Arial"/>
          <w:sz w:val="28"/>
          <w:szCs w:val="28"/>
        </w:rPr>
        <w:t>7. Круговой (Мордовская народная игра);</w:t>
      </w:r>
    </w:p>
    <w:p w:rsidR="00A01CBD" w:rsidRPr="00BB435D" w:rsidRDefault="00A01CBD" w:rsidP="008829C8">
      <w:pPr>
        <w:spacing w:after="100" w:afterAutospacing="1"/>
        <w:ind w:firstLine="709"/>
        <w:jc w:val="both"/>
        <w:rPr>
          <w:rFonts w:ascii="Arial" w:hAnsi="Arial" w:cs="Arial"/>
          <w:sz w:val="28"/>
          <w:szCs w:val="28"/>
        </w:rPr>
      </w:pPr>
      <w:r w:rsidRPr="00BB435D">
        <w:rPr>
          <w:rFonts w:ascii="Arial" w:hAnsi="Arial" w:cs="Arial"/>
          <w:sz w:val="28"/>
          <w:szCs w:val="28"/>
        </w:rPr>
        <w:t>8. Достань шапку (дагестанская народная игра);</w:t>
      </w:r>
    </w:p>
    <w:p w:rsidR="005D5B83" w:rsidRPr="00BB435D" w:rsidRDefault="005D5B83" w:rsidP="008829C8">
      <w:pPr>
        <w:spacing w:after="100" w:afterAutospacing="1"/>
        <w:ind w:firstLine="709"/>
        <w:jc w:val="both"/>
        <w:rPr>
          <w:rFonts w:ascii="Arial" w:hAnsi="Arial" w:cs="Arial"/>
          <w:sz w:val="28"/>
          <w:szCs w:val="28"/>
        </w:rPr>
      </w:pPr>
      <w:r w:rsidRPr="00BB435D">
        <w:rPr>
          <w:rFonts w:ascii="Arial" w:hAnsi="Arial" w:cs="Arial"/>
          <w:sz w:val="28"/>
          <w:szCs w:val="28"/>
        </w:rPr>
        <w:t xml:space="preserve"> Их комплексное применение обеспечивало не только процесс формирования первичных представлений о многообразии </w:t>
      </w:r>
      <w:r w:rsidR="009B0364" w:rsidRPr="00BB435D">
        <w:rPr>
          <w:rFonts w:ascii="Arial" w:hAnsi="Arial" w:cs="Arial"/>
          <w:sz w:val="28"/>
          <w:szCs w:val="28"/>
        </w:rPr>
        <w:t xml:space="preserve">народов, </w:t>
      </w:r>
      <w:r w:rsidRPr="00BB435D">
        <w:rPr>
          <w:rFonts w:ascii="Arial" w:hAnsi="Arial" w:cs="Arial"/>
          <w:sz w:val="28"/>
          <w:szCs w:val="28"/>
        </w:rPr>
        <w:t xml:space="preserve"> в нашем крае, способствовало развитию мыслительных операций (сравнение, обобщение), но и закладывало нормативные основы поведения в будущем.</w:t>
      </w:r>
    </w:p>
    <w:p w:rsidR="00C71C61" w:rsidRPr="00BB435D" w:rsidRDefault="00A01CBD" w:rsidP="00CE3A8D">
      <w:pPr>
        <w:spacing w:after="100" w:afterAutospacing="1"/>
        <w:ind w:firstLine="709"/>
        <w:jc w:val="both"/>
        <w:rPr>
          <w:rFonts w:ascii="Arial" w:hAnsi="Arial" w:cs="Arial"/>
          <w:sz w:val="28"/>
          <w:szCs w:val="28"/>
        </w:rPr>
      </w:pPr>
      <w:r w:rsidRPr="00BB435D">
        <w:rPr>
          <w:rFonts w:ascii="Arial" w:hAnsi="Arial" w:cs="Arial"/>
          <w:sz w:val="28"/>
          <w:szCs w:val="28"/>
        </w:rPr>
        <w:t>Толерантность  дошкольника представляет собой интегративное качество личности, формирующееся на основе познания многообразия мира, этнокультурной осведомленности и понимания ребенком общности разных культур, определяющее его желание и умения устанавливать социальные контакты с другими детьми и взрослыми, независимо от их пола, этнической принадлежности, физических особенностей, на основе терпимого, уважительного отношения и готовности к взаимодействию и сотрудничеству.</w:t>
      </w:r>
    </w:p>
    <w:sectPr w:rsidR="00C71C61" w:rsidRPr="00BB435D" w:rsidSect="008829C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80AFD"/>
    <w:multiLevelType w:val="hybridMultilevel"/>
    <w:tmpl w:val="8040B758"/>
    <w:lvl w:ilvl="0" w:tplc="B8B8D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0697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FA"/>
    <w:rsid w:val="001371FA"/>
    <w:rsid w:val="004740DD"/>
    <w:rsid w:val="005D5B83"/>
    <w:rsid w:val="008829C8"/>
    <w:rsid w:val="009B0364"/>
    <w:rsid w:val="009C1982"/>
    <w:rsid w:val="00A01CBD"/>
    <w:rsid w:val="00AF20FC"/>
    <w:rsid w:val="00BB435D"/>
    <w:rsid w:val="00C71C61"/>
    <w:rsid w:val="00CE3A8D"/>
    <w:rsid w:val="00EB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F89"/>
  <w15:docId w15:val="{F437E7B2-CD0F-A747-A788-D7BB155F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Мария Великанова</cp:lastModifiedBy>
  <cp:revision>2</cp:revision>
  <dcterms:created xsi:type="dcterms:W3CDTF">2023-04-17T19:53:00Z</dcterms:created>
  <dcterms:modified xsi:type="dcterms:W3CDTF">2023-04-17T19:53:00Z</dcterms:modified>
</cp:coreProperties>
</file>