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6E3" w:rsidRDefault="007836E3" w:rsidP="007836E3">
      <w:pPr>
        <w:ind w:firstLine="567"/>
        <w:jc w:val="both"/>
        <w:sectPr w:rsidR="007836E3" w:rsidSect="00B743E5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255DB3" w:rsidRPr="00264B73" w:rsidRDefault="00264B73" w:rsidP="00264B73">
      <w:pPr>
        <w:ind w:firstLine="567"/>
        <w:jc w:val="center"/>
        <w:rPr>
          <w:b/>
          <w:bCs/>
        </w:rPr>
      </w:pPr>
      <w:r w:rsidRPr="00264B73">
        <w:rPr>
          <w:b/>
          <w:bCs/>
          <w:sz w:val="28"/>
          <w:szCs w:val="28"/>
        </w:rPr>
        <w:t>Использование моделирующих средств информационно - коммуникационных технологий в преподавании дисциплин общепрофессионального цикла</w:t>
      </w:r>
    </w:p>
    <w:p w:rsidR="00255DB3" w:rsidRDefault="00255DB3" w:rsidP="00255DB3">
      <w:pPr>
        <w:pStyle w:val="a9"/>
        <w:ind w:firstLine="567"/>
        <w:jc w:val="both"/>
        <w:rPr>
          <w:color w:val="000000"/>
        </w:rPr>
      </w:pPr>
      <w:r w:rsidRPr="001E76BF">
        <w:t>Без информационных технологий уже невозможно представить обучение, работу, да и вообще современную жизнь. Разнообразие аппаратного и программного обеспечения, быстрая смена поколений компьютеров, операционных систем и прикладных программ (в том числе и обучающих) приводит к тому, что не только начинающие, но и более опытные пользователи недостаточно эффективно используют потенциальные возможности современных информационных технологий образования.</w:t>
      </w:r>
    </w:p>
    <w:p w:rsidR="00255DB3" w:rsidRPr="001E76BF" w:rsidRDefault="00255DB3" w:rsidP="00255DB3">
      <w:pPr>
        <w:ind w:firstLine="567"/>
        <w:jc w:val="both"/>
      </w:pPr>
      <w:r w:rsidRPr="001E76BF">
        <w:t xml:space="preserve">Применение персональных компьютеров не только позволяет упростить разработку, тиражирование и использование дидактических и научных материалов, но и повысить качество образования, соответствовать реалиям сегодняшнего дня. Несомненно, что грамотное и комплексное использование информационных компьютерных технологий предоставляет обучающимся, преподавателям, научным работникам возможность эффективнее распределять свое время, реализовывать творческий потенциал. </w:t>
      </w:r>
    </w:p>
    <w:p w:rsidR="0049628A" w:rsidRPr="001E76BF" w:rsidRDefault="0049628A" w:rsidP="001E76BF">
      <w:pPr>
        <w:pStyle w:val="a9"/>
        <w:ind w:firstLine="567"/>
        <w:jc w:val="both"/>
        <w:rPr>
          <w:color w:val="000000"/>
        </w:rPr>
      </w:pPr>
      <w:r w:rsidRPr="001E76BF">
        <w:rPr>
          <w:color w:val="000000"/>
        </w:rPr>
        <w:t xml:space="preserve">Информатизация существенно повлияла на процесс приобретения знаний. Новые технологии обучения на основе информационных и коммуникационных позволяют интенсифицировать образовательный процесс, увеличить скорость восприятия, понимания и глубину усвоения огромных массивов знаний. </w:t>
      </w:r>
    </w:p>
    <w:p w:rsidR="00F82B75" w:rsidRDefault="0049628A" w:rsidP="001E76BF">
      <w:pPr>
        <w:ind w:firstLine="567"/>
        <w:jc w:val="both"/>
        <w:rPr>
          <w:color w:val="000000"/>
        </w:rPr>
      </w:pPr>
      <w:r w:rsidRPr="001E76BF">
        <w:rPr>
          <w:color w:val="000000"/>
        </w:rPr>
        <w:t>В информационных технологиях обучения выделяются два компонента, участвующие в передаче учебной информации: технические средства, к ним относится компьютерная техника и средства связи, и программные средства (ПС), которые могут быть различного назначения. Для разработки уроков с компьютерной поддержкой учителю важно знать функциональные возможности и условия применения каждого из вышеназванных компонентов. Как технические, так и программные средства вносят свою специфику и оказывают определенное влияние на учебный процесс.</w:t>
      </w:r>
    </w:p>
    <w:p w:rsidR="001E76BF" w:rsidRPr="001E76BF" w:rsidRDefault="001E76BF" w:rsidP="001E76BF">
      <w:pPr>
        <w:ind w:firstLine="567"/>
        <w:jc w:val="both"/>
        <w:rPr>
          <w:color w:val="000000"/>
        </w:rPr>
      </w:pPr>
    </w:p>
    <w:p w:rsidR="00BB066C" w:rsidRPr="001E76BF" w:rsidRDefault="00BB066C" w:rsidP="005C6647">
      <w:pPr>
        <w:pStyle w:val="a9"/>
        <w:spacing w:before="0" w:beforeAutospacing="0" w:after="0" w:afterAutospacing="0"/>
        <w:ind w:firstLine="567"/>
        <w:jc w:val="center"/>
        <w:rPr>
          <w:b/>
          <w:bCs/>
          <w:color w:val="000000"/>
        </w:rPr>
      </w:pPr>
      <w:r w:rsidRPr="001E76BF">
        <w:rPr>
          <w:b/>
          <w:bCs/>
          <w:color w:val="000000"/>
        </w:rPr>
        <w:t>Методические возможности средств ИТ</w:t>
      </w:r>
    </w:p>
    <w:p w:rsidR="00BB066C" w:rsidRPr="001E76BF" w:rsidRDefault="00BB066C" w:rsidP="001E76BF">
      <w:pPr>
        <w:numPr>
          <w:ilvl w:val="0"/>
          <w:numId w:val="2"/>
        </w:numPr>
        <w:ind w:firstLine="567"/>
        <w:rPr>
          <w:color w:val="000000"/>
        </w:rPr>
      </w:pPr>
      <w:r w:rsidRPr="001E76BF">
        <w:rPr>
          <w:color w:val="000000"/>
        </w:rPr>
        <w:t xml:space="preserve">Визуализация знаний </w:t>
      </w:r>
    </w:p>
    <w:p w:rsidR="00BB066C" w:rsidRPr="001E76BF" w:rsidRDefault="00BB066C" w:rsidP="001E76BF">
      <w:pPr>
        <w:numPr>
          <w:ilvl w:val="0"/>
          <w:numId w:val="2"/>
        </w:numPr>
        <w:ind w:firstLine="567"/>
        <w:rPr>
          <w:color w:val="000000"/>
        </w:rPr>
      </w:pPr>
      <w:r w:rsidRPr="001E76BF">
        <w:rPr>
          <w:color w:val="000000"/>
        </w:rPr>
        <w:t xml:space="preserve">Индивидуализация, дифференциация обучения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Возможность проследить процесс развития объекта, построение чертежа, последовательность выполнения операций (компьютерные демонстрации)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Моделирование объектов, процессов и явлений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Создание и использование информационных баз данных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Доступ к большому объему информации, представленному в занимательной форме, благодаря использованию средств мультимедиа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Формирование умений обрабатывать информацию при работе с компьютерными каталогами и справочниками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Осуществление самоконтроля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Осуществление тренировки и самоподготовки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Усиление мотивации обучения (игры, средства мультимедиа)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Формирование умений принимать оптимальное решение в сложной ситуации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Развитие определенного вида мышления (например, наглядно-образного)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Формирование культуры учебной деятельности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Формирование информационной культуры </w:t>
      </w:r>
    </w:p>
    <w:p w:rsidR="00BB066C" w:rsidRPr="001E76BF" w:rsidRDefault="00BB066C" w:rsidP="001E76BF">
      <w:pPr>
        <w:numPr>
          <w:ilvl w:val="0"/>
          <w:numId w:val="2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>Высвобождение учебного времени</w:t>
      </w:r>
    </w:p>
    <w:p w:rsidR="00255DB3" w:rsidRDefault="00255DB3" w:rsidP="001E76BF">
      <w:pPr>
        <w:pStyle w:val="a9"/>
        <w:ind w:firstLine="567"/>
        <w:rPr>
          <w:b/>
          <w:bCs/>
          <w:color w:val="000000"/>
        </w:rPr>
      </w:pPr>
    </w:p>
    <w:p w:rsidR="00BB066C" w:rsidRPr="001E76BF" w:rsidRDefault="00BB066C" w:rsidP="009E2C0F">
      <w:pPr>
        <w:pStyle w:val="a9"/>
        <w:ind w:firstLine="567"/>
        <w:jc w:val="center"/>
        <w:rPr>
          <w:b/>
          <w:bCs/>
          <w:color w:val="000000"/>
        </w:rPr>
      </w:pPr>
      <w:r w:rsidRPr="001E76BF">
        <w:rPr>
          <w:b/>
          <w:bCs/>
          <w:color w:val="000000"/>
        </w:rPr>
        <w:lastRenderedPageBreak/>
        <w:t>Классификация педагогических программных средств</w:t>
      </w:r>
    </w:p>
    <w:p w:rsidR="00BB066C" w:rsidRPr="001E76BF" w:rsidRDefault="00BB066C" w:rsidP="001E76BF">
      <w:pPr>
        <w:pStyle w:val="a9"/>
        <w:ind w:firstLine="567"/>
        <w:jc w:val="both"/>
        <w:rPr>
          <w:color w:val="000000"/>
        </w:rPr>
      </w:pPr>
      <w:r w:rsidRPr="001E76BF">
        <w:rPr>
          <w:color w:val="000000"/>
        </w:rPr>
        <w:t>Под программным средством учебного назначения понимается ПС, в котором отражается некоторая предметная область, где в той или иной мере реализуется технология ее изучения, обеспечиваются условия для осуществления различных видов учебной деятельности. Такие ПС, функционально поддерживающее различные виды учебного процесса, называются педагогическими программными средствами (ППС).</w:t>
      </w:r>
    </w:p>
    <w:p w:rsidR="00BB066C" w:rsidRPr="001E76BF" w:rsidRDefault="00BB066C" w:rsidP="001E76BF">
      <w:pPr>
        <w:pStyle w:val="a9"/>
        <w:spacing w:before="0" w:beforeAutospacing="0" w:after="0" w:afterAutospacing="0"/>
        <w:ind w:firstLine="567"/>
        <w:jc w:val="both"/>
        <w:rPr>
          <w:color w:val="000000"/>
        </w:rPr>
      </w:pPr>
      <w:r w:rsidRPr="001E76BF">
        <w:rPr>
          <w:color w:val="000000"/>
        </w:rPr>
        <w:t>В настоящее время существует большое количество различных классификаций и типологий ППС</w:t>
      </w:r>
      <w:r w:rsidR="001E76BF">
        <w:rPr>
          <w:color w:val="000000"/>
        </w:rPr>
        <w:t>.</w:t>
      </w:r>
      <w:r w:rsidRPr="001E76BF">
        <w:rPr>
          <w:color w:val="000000"/>
        </w:rPr>
        <w:t>По методическому назначению ППС могут быть:</w:t>
      </w:r>
    </w:p>
    <w:p w:rsidR="00BB066C" w:rsidRPr="001E76BF" w:rsidRDefault="00BB066C" w:rsidP="001E76BF">
      <w:pPr>
        <w:numPr>
          <w:ilvl w:val="0"/>
          <w:numId w:val="3"/>
        </w:numPr>
        <w:ind w:firstLine="567"/>
        <w:rPr>
          <w:color w:val="000000"/>
        </w:rPr>
      </w:pPr>
      <w:r w:rsidRPr="001E76BF">
        <w:rPr>
          <w:color w:val="000000"/>
        </w:rPr>
        <w:t xml:space="preserve">компьютерные учебники (уроки); </w:t>
      </w:r>
    </w:p>
    <w:p w:rsidR="00BB066C" w:rsidRPr="001E76BF" w:rsidRDefault="00BB066C" w:rsidP="001E76BF">
      <w:pPr>
        <w:numPr>
          <w:ilvl w:val="0"/>
          <w:numId w:val="3"/>
        </w:numPr>
        <w:ind w:firstLine="567"/>
        <w:rPr>
          <w:color w:val="000000"/>
        </w:rPr>
      </w:pPr>
      <w:r w:rsidRPr="001E76BF">
        <w:rPr>
          <w:color w:val="000000"/>
        </w:rPr>
        <w:t xml:space="preserve">программы-тренажеры (репетиторы); </w:t>
      </w:r>
    </w:p>
    <w:p w:rsidR="00BB066C" w:rsidRPr="001E76BF" w:rsidRDefault="00BB066C" w:rsidP="001E76BF">
      <w:pPr>
        <w:numPr>
          <w:ilvl w:val="0"/>
          <w:numId w:val="3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контролирующие (тестовые оболочки); </w:t>
      </w:r>
    </w:p>
    <w:p w:rsidR="00BB066C" w:rsidRPr="001E76BF" w:rsidRDefault="00BB066C" w:rsidP="001E76BF">
      <w:pPr>
        <w:numPr>
          <w:ilvl w:val="0"/>
          <w:numId w:val="3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информационно-справочные (энциклопедии); </w:t>
      </w:r>
    </w:p>
    <w:p w:rsidR="00BB066C" w:rsidRPr="001E76BF" w:rsidRDefault="00BB066C" w:rsidP="001E76BF">
      <w:pPr>
        <w:numPr>
          <w:ilvl w:val="0"/>
          <w:numId w:val="3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имитационные; </w:t>
      </w:r>
    </w:p>
    <w:p w:rsidR="00BB066C" w:rsidRPr="001E76BF" w:rsidRDefault="00BB066C" w:rsidP="001E76BF">
      <w:pPr>
        <w:numPr>
          <w:ilvl w:val="0"/>
          <w:numId w:val="3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моделирующие; </w:t>
      </w:r>
    </w:p>
    <w:p w:rsidR="00BB066C" w:rsidRPr="001E76BF" w:rsidRDefault="00BB066C" w:rsidP="001E76BF">
      <w:pPr>
        <w:numPr>
          <w:ilvl w:val="0"/>
          <w:numId w:val="3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демонстрационные (слайд-или </w:t>
      </w:r>
      <w:proofErr w:type="gramStart"/>
      <w:r w:rsidRPr="001E76BF">
        <w:rPr>
          <w:color w:val="000000"/>
        </w:rPr>
        <w:t>видео-фильмы</w:t>
      </w:r>
      <w:proofErr w:type="gramEnd"/>
      <w:r w:rsidRPr="001E76BF">
        <w:rPr>
          <w:color w:val="000000"/>
        </w:rPr>
        <w:t xml:space="preserve">); </w:t>
      </w:r>
    </w:p>
    <w:p w:rsidR="00BB066C" w:rsidRPr="001E76BF" w:rsidRDefault="00BB066C" w:rsidP="001E76BF">
      <w:pPr>
        <w:numPr>
          <w:ilvl w:val="0"/>
          <w:numId w:val="3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 xml:space="preserve">учебно-игровые; </w:t>
      </w:r>
    </w:p>
    <w:p w:rsidR="00BB066C" w:rsidRPr="001E76BF" w:rsidRDefault="00BB066C" w:rsidP="001E76BF">
      <w:pPr>
        <w:numPr>
          <w:ilvl w:val="0"/>
          <w:numId w:val="3"/>
        </w:numPr>
        <w:spacing w:before="100" w:beforeAutospacing="1" w:after="100" w:afterAutospacing="1"/>
        <w:ind w:firstLine="567"/>
        <w:rPr>
          <w:color w:val="000000"/>
        </w:rPr>
      </w:pPr>
      <w:r w:rsidRPr="001E76BF">
        <w:rPr>
          <w:color w:val="000000"/>
        </w:rPr>
        <w:t>досуговые (компьютерные игры: аркадные, квесты, стратегии, ролевые, логические, спортивные и др. типы).</w:t>
      </w:r>
    </w:p>
    <w:p w:rsidR="00255DB3" w:rsidRDefault="00255DB3" w:rsidP="00255DB3">
      <w:pPr>
        <w:pStyle w:val="2"/>
        <w:spacing w:after="0" w:line="240" w:lineRule="auto"/>
        <w:ind w:firstLine="567"/>
        <w:jc w:val="both"/>
      </w:pPr>
      <w:r>
        <w:t>С помощью компьютера появляется возможность систематического решения задач учебно-исследовательского характера, на</w:t>
      </w:r>
      <w:r>
        <w:softHyphen/>
        <w:t>пример, по анализу ка</w:t>
      </w:r>
      <w:r>
        <w:softHyphen/>
        <w:t>ких-либо производственных, управленческих и дру</w:t>
      </w:r>
      <w:r>
        <w:softHyphen/>
        <w:t>гих ситуаций. Кроме того, компьютер позволяет студентам поставить задачу и решить её в ин</w:t>
      </w:r>
      <w:r>
        <w:softHyphen/>
        <w:t>терактивном режиме.</w:t>
      </w:r>
    </w:p>
    <w:p w:rsidR="00255DB3" w:rsidRDefault="00255DB3" w:rsidP="00255DB3">
      <w:pPr>
        <w:pStyle w:val="2"/>
        <w:spacing w:after="0" w:line="240" w:lineRule="auto"/>
        <w:ind w:firstLine="567"/>
        <w:jc w:val="both"/>
      </w:pPr>
      <w:r>
        <w:t>Выбор наиболее эффективных методов и средств, для какого-либо конкретного учебного занятия представляется одним из важных моментов процесса обучения. Анализируя методы и средства обучения, необходимо учитывать их постоянное совершенствование. При использовании методов и средств важно учитывать то обстоятельство, что одни и те же методы или средства могут быть эффективными при одних условиях и совершенно неприемлемыми при других.</w:t>
      </w:r>
    </w:p>
    <w:p w:rsidR="00255DB3" w:rsidRDefault="00255DB3" w:rsidP="00255DB3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  <w:bookmarkStart w:id="0" w:name="_GoBack"/>
      <w:bookmarkEnd w:id="0"/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p w:rsidR="00255DB3" w:rsidRDefault="00255DB3" w:rsidP="001E76BF">
      <w:pPr>
        <w:ind w:firstLine="567"/>
        <w:jc w:val="both"/>
        <w:rPr>
          <w:b/>
        </w:rPr>
      </w:pPr>
    </w:p>
    <w:sectPr w:rsidR="00255DB3" w:rsidSect="007836E3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55C39"/>
    <w:multiLevelType w:val="hybridMultilevel"/>
    <w:tmpl w:val="447CC3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7C4EBC"/>
    <w:multiLevelType w:val="multilevel"/>
    <w:tmpl w:val="8306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180040"/>
    <w:multiLevelType w:val="hybridMultilevel"/>
    <w:tmpl w:val="9EB897A4"/>
    <w:lvl w:ilvl="0" w:tplc="7CCE4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A34E7"/>
    <w:multiLevelType w:val="multilevel"/>
    <w:tmpl w:val="787E0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4C1098"/>
    <w:multiLevelType w:val="multilevel"/>
    <w:tmpl w:val="7B66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E75B5A"/>
    <w:multiLevelType w:val="multilevel"/>
    <w:tmpl w:val="9F04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433E"/>
    <w:rsid w:val="00005B8B"/>
    <w:rsid w:val="0003605C"/>
    <w:rsid w:val="0009572B"/>
    <w:rsid w:val="0012042C"/>
    <w:rsid w:val="00186078"/>
    <w:rsid w:val="001B4CED"/>
    <w:rsid w:val="001E76BF"/>
    <w:rsid w:val="00220221"/>
    <w:rsid w:val="00255DB3"/>
    <w:rsid w:val="00264B73"/>
    <w:rsid w:val="00341DCB"/>
    <w:rsid w:val="0049628A"/>
    <w:rsid w:val="005124A2"/>
    <w:rsid w:val="005550BC"/>
    <w:rsid w:val="005C6647"/>
    <w:rsid w:val="00617F55"/>
    <w:rsid w:val="0066333C"/>
    <w:rsid w:val="00676B3F"/>
    <w:rsid w:val="00697760"/>
    <w:rsid w:val="006C5754"/>
    <w:rsid w:val="006F7788"/>
    <w:rsid w:val="007627F1"/>
    <w:rsid w:val="007836E3"/>
    <w:rsid w:val="007B2CBB"/>
    <w:rsid w:val="007F2197"/>
    <w:rsid w:val="008C4664"/>
    <w:rsid w:val="00902B0A"/>
    <w:rsid w:val="00941BEC"/>
    <w:rsid w:val="009E2C0F"/>
    <w:rsid w:val="00A21FB6"/>
    <w:rsid w:val="00A45D6D"/>
    <w:rsid w:val="00A75C18"/>
    <w:rsid w:val="00AF39B2"/>
    <w:rsid w:val="00B743E5"/>
    <w:rsid w:val="00BB066C"/>
    <w:rsid w:val="00CA3DD3"/>
    <w:rsid w:val="00CC3BDB"/>
    <w:rsid w:val="00D13FB7"/>
    <w:rsid w:val="00D36B77"/>
    <w:rsid w:val="00DD62DE"/>
    <w:rsid w:val="00E02C67"/>
    <w:rsid w:val="00E6433E"/>
    <w:rsid w:val="00EE2B16"/>
    <w:rsid w:val="00F8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D14FB0"/>
  <w15:docId w15:val="{28568C21-7B4C-4039-A3CB-B7BDD7DB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7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B77"/>
    <w:pPr>
      <w:ind w:left="720"/>
      <w:contextualSpacing/>
    </w:pPr>
  </w:style>
  <w:style w:type="paragraph" w:styleId="a4">
    <w:name w:val="Body Text"/>
    <w:basedOn w:val="a"/>
    <w:link w:val="a5"/>
    <w:rsid w:val="008C4664"/>
    <w:pPr>
      <w:jc w:val="center"/>
    </w:pPr>
    <w:rPr>
      <w:b/>
      <w:bCs/>
      <w:i/>
      <w:iCs/>
      <w:sz w:val="32"/>
    </w:rPr>
  </w:style>
  <w:style w:type="character" w:customStyle="1" w:styleId="a5">
    <w:name w:val="Основной текст Знак"/>
    <w:basedOn w:val="a0"/>
    <w:link w:val="a4"/>
    <w:rsid w:val="008C4664"/>
    <w:rPr>
      <w:b/>
      <w:bCs/>
      <w:i/>
      <w:iCs/>
      <w:sz w:val="32"/>
      <w:szCs w:val="24"/>
    </w:rPr>
  </w:style>
  <w:style w:type="paragraph" w:customStyle="1" w:styleId="1">
    <w:name w:val="Знак1"/>
    <w:basedOn w:val="a"/>
    <w:rsid w:val="00A21FB6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D62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D62D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74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49628A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255D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5DB3"/>
    <w:rPr>
      <w:sz w:val="24"/>
      <w:szCs w:val="24"/>
    </w:rPr>
  </w:style>
  <w:style w:type="paragraph" w:customStyle="1" w:styleId="aa">
    <w:name w:val="a"/>
    <w:basedOn w:val="a"/>
    <w:rsid w:val="00255DB3"/>
    <w:pPr>
      <w:keepNext/>
      <w:jc w:val="center"/>
    </w:pPr>
    <w:rPr>
      <w:b/>
      <w:bCs/>
      <w:caps/>
      <w:sz w:val="28"/>
      <w:szCs w:val="20"/>
    </w:rPr>
  </w:style>
  <w:style w:type="paragraph" w:customStyle="1" w:styleId="a00">
    <w:name w:val="a0"/>
    <w:basedOn w:val="a"/>
    <w:rsid w:val="00255DB3"/>
    <w:pPr>
      <w:keepNext/>
      <w:jc w:val="center"/>
    </w:pPr>
    <w:rPr>
      <w:sz w:val="28"/>
      <w:szCs w:val="20"/>
    </w:rPr>
  </w:style>
  <w:style w:type="character" w:styleId="ab">
    <w:name w:val="Strong"/>
    <w:basedOn w:val="a0"/>
    <w:uiPriority w:val="22"/>
    <w:qFormat/>
    <w:rsid w:val="00AF39B2"/>
    <w:rPr>
      <w:b/>
      <w:bCs/>
    </w:rPr>
  </w:style>
  <w:style w:type="character" w:styleId="ac">
    <w:name w:val="Emphasis"/>
    <w:basedOn w:val="a0"/>
    <w:uiPriority w:val="20"/>
    <w:qFormat/>
    <w:rsid w:val="00AF3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4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23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517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40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2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73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5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80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РЕФЛЕКСИВНОЕ УПРАВЛЕНИЕ УЧЕБНО-ПОЗНАВАТЕЛЬНОЙ ДЕЯТЕЛЬНОСТЬЮ</vt:lpstr>
    </vt:vector>
  </TitlesOfParts>
  <Company>Tycoon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РЕФЛЕКСИВНОЕ УПРАВЛЕНИЕ УЧЕБНО-ПОЗНАВАТЕЛЬНОЙ ДЕЯТЕЛЬНОСТЬЮ</dc:title>
  <dc:creator>БМТ</dc:creator>
  <cp:lastModifiedBy>STALKER</cp:lastModifiedBy>
  <cp:revision>8</cp:revision>
  <cp:lastPrinted>2010-11-14T18:01:00Z</cp:lastPrinted>
  <dcterms:created xsi:type="dcterms:W3CDTF">2013-03-18T13:49:00Z</dcterms:created>
  <dcterms:modified xsi:type="dcterms:W3CDTF">2022-02-16T17:25:00Z</dcterms:modified>
</cp:coreProperties>
</file>