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BFC" w:rsidRPr="00985BFC" w:rsidRDefault="00985BFC" w:rsidP="00985BFC">
      <w:pPr>
        <w:pStyle w:val="a4"/>
        <w:spacing w:before="0" w:beforeAutospacing="0" w:after="0" w:afterAutospacing="0"/>
        <w:jc w:val="center"/>
        <w:rPr>
          <w:b/>
          <w:sz w:val="28"/>
        </w:rPr>
      </w:pPr>
      <w:r w:rsidRPr="00985BFC">
        <w:rPr>
          <w:b/>
          <w:sz w:val="28"/>
        </w:rPr>
        <w:t>Тригонометрические функции в медицинских исследованиях</w:t>
      </w:r>
    </w:p>
    <w:p w:rsidR="00985BFC" w:rsidRDefault="00985BFC" w:rsidP="00985BFC">
      <w:pPr>
        <w:pStyle w:val="a4"/>
        <w:spacing w:before="0" w:beforeAutospacing="0" w:after="0" w:afterAutospacing="0"/>
        <w:jc w:val="both"/>
      </w:pPr>
    </w:p>
    <w:p w:rsidR="00985BFC" w:rsidRDefault="00985BFC" w:rsidP="00985BFC">
      <w:pPr>
        <w:jc w:val="center"/>
        <w:rPr>
          <w:b/>
        </w:rPr>
      </w:pPr>
    </w:p>
    <w:p w:rsidR="00985BFC" w:rsidRPr="00985BFC" w:rsidRDefault="00985BFC" w:rsidP="00985BFC">
      <w:pPr>
        <w:jc w:val="center"/>
        <w:rPr>
          <w:b/>
        </w:rPr>
      </w:pPr>
      <w:r w:rsidRPr="00985BFC">
        <w:rPr>
          <w:b/>
        </w:rPr>
        <w:t>Аннотация</w:t>
      </w:r>
    </w:p>
    <w:p w:rsidR="00985BFC" w:rsidRDefault="00985BFC" w:rsidP="00985BFC"/>
    <w:p w:rsidR="00985BFC" w:rsidRPr="00985BFC" w:rsidRDefault="00985BFC" w:rsidP="00985BFC">
      <w:r w:rsidRPr="00985BFC">
        <w:t xml:space="preserve">Статья исследует роль тригонометрических функций в медицинских исследованиях и обучении будущих врачей. Подчеркивается необходимость раннего вовлечения студентов в анализ и обработку медицинских данных, переход к процедурному методу, использующему точные алгоритмы и математическое описание паттернов через синус, косинус и тангенс. Рассматриваются примеры суточных ритмов, поведения микроорганизмов и моделирования биофизических процессов, </w:t>
      </w:r>
      <w:r>
        <w:t>делая акцент</w:t>
      </w:r>
      <w:r w:rsidRPr="00985BFC">
        <w:t xml:space="preserve"> на объективности и воспроизводимости результатов.</w:t>
      </w:r>
    </w:p>
    <w:p w:rsidR="00985BFC" w:rsidRDefault="00985BFC" w:rsidP="00985BFC">
      <w:pPr>
        <w:pStyle w:val="a4"/>
        <w:spacing w:before="0" w:beforeAutospacing="0" w:after="0" w:afterAutospacing="0"/>
        <w:jc w:val="both"/>
      </w:pPr>
    </w:p>
    <w:p w:rsidR="00985BFC" w:rsidRPr="00985BFC" w:rsidRDefault="00985BFC" w:rsidP="00985BFC">
      <w:pPr>
        <w:pStyle w:val="a4"/>
        <w:spacing w:before="0" w:beforeAutospacing="0" w:after="0" w:afterAutospacing="0"/>
        <w:jc w:val="both"/>
      </w:pPr>
    </w:p>
    <w:p w:rsidR="00985BFC" w:rsidRPr="00985BFC" w:rsidRDefault="00985BFC" w:rsidP="00985BFC">
      <w:pPr>
        <w:pStyle w:val="a4"/>
        <w:spacing w:before="0" w:beforeAutospacing="0" w:after="0" w:afterAutospacing="0"/>
        <w:jc w:val="both"/>
      </w:pPr>
      <w:r w:rsidRPr="00985BFC">
        <w:t>Если сегодня говорить о будущем медицины, то трудно переоценить роль анализа данных. В эпоху цифровых технологий медицинские вузы сталкиваются с колоссальным объёмом информации: от показателей жизненных параметров человека до поведения микроорганизмов в разных средах и характеров образований. В таком контексте тригонометрические функции — синус, косинус, тангенс — не являются эсхатологическими аббревиатурами из учебников, а рабочими инструментами современного научного метода.</w:t>
      </w:r>
    </w:p>
    <w:p w:rsidR="00985BFC" w:rsidRPr="00985BFC" w:rsidRDefault="00985BFC" w:rsidP="00985BFC">
      <w:pPr>
        <w:pStyle w:val="a4"/>
        <w:spacing w:before="0" w:beforeAutospacing="0" w:after="0" w:afterAutospacing="0"/>
        <w:jc w:val="both"/>
      </w:pPr>
      <w:r w:rsidRPr="00985BFC">
        <w:t>Начинается всё с идеи, что данные должны анализироваться не декларативно, а процедурно. Студенты медицинских вузов обязаны понять, как зафиксированные циклы и колебания в биологических процессах превращаются в объективные сигналы патологии. Например, суточные колебания артериального давления, пульсовой волны или температуры тела лучше всего описывать периодическими функциями. В этих случаях синусоидальные модели позволяют выделить нормальные ритмы организма и отличить их от аномалий. Точно так же спектральный анализ частотных компонент сигналов может выявлять скрытые паттерны в изменении маркеров поведения микроорганизмов: рост в различных средах часто сопровождается периодическими колебаниями депозита, кислородной потребности и метаболической активности, которые можно выразить через гармоники синуса и косинуса.</w:t>
      </w:r>
    </w:p>
    <w:p w:rsidR="00985BFC" w:rsidRPr="00985BFC" w:rsidRDefault="00985BFC" w:rsidP="00985BFC">
      <w:pPr>
        <w:pStyle w:val="a4"/>
        <w:spacing w:before="0" w:beforeAutospacing="0" w:after="0" w:afterAutospacing="0"/>
        <w:jc w:val="both"/>
      </w:pPr>
      <w:r w:rsidRPr="00985BFC">
        <w:t xml:space="preserve">Важно, чтобы студенты осваивали не только технику подбора параметров, но и основу математического описания. Каждый процесс должен быть сформулирован через четкий алгоритм: от выбора модели до оценки её адекватности и интерпретации результатов клиническими задачами. Это требует перехода от ситуативной интерпретации к объективному описанию: в медицине критично различать случайность и закономерность, сигнал и шум. Тригонометрические функции здесь работают как инструменты </w:t>
      </w:r>
      <w:r w:rsidRPr="00985BFC">
        <w:t>аппроксимации</w:t>
      </w:r>
      <w:r w:rsidRPr="00985BFC">
        <w:t xml:space="preserve"> периодических процессов, но сами по себе не</w:t>
      </w:r>
      <w:r w:rsidRPr="00985BFC">
        <w:t xml:space="preserve"> </w:t>
      </w:r>
      <w:r w:rsidRPr="00985BFC">
        <w:t>являются ответом. Они служат языком для выражения паттернов, которые можно проверить статистически и клинически.</w:t>
      </w:r>
    </w:p>
    <w:p w:rsidR="00985BFC" w:rsidRPr="00985BFC" w:rsidRDefault="00985BFC" w:rsidP="00985BFC">
      <w:pPr>
        <w:pStyle w:val="a4"/>
        <w:spacing w:before="0" w:beforeAutospacing="0" w:after="0" w:afterAutospacing="0"/>
        <w:jc w:val="both"/>
      </w:pPr>
      <w:r w:rsidRPr="00985BFC">
        <w:t xml:space="preserve">Потенциал тригонометрии очевиден и в анализе образований в тканях и органах. Геометрия и углы под позволяют описывать формы и размеры структур через периодические помехи экспозиции, а также моделировать волновые процессы в биоэлектрических и биофизических контекстах. Так, синусоиды применяются для моделирования колебаний электрической активности нейронов, а косинусы — для аппроксимации пространственных распределений сигналов в МРТ и </w:t>
      </w:r>
      <w:proofErr w:type="spellStart"/>
      <w:r w:rsidRPr="00985BFC">
        <w:t>эхографии</w:t>
      </w:r>
      <w:proofErr w:type="spellEnd"/>
      <w:r w:rsidRPr="00985BFC">
        <w:t>. Тангенс, в свою очередь, встречается в формулах соотношения сигнал/шум и в анализе угловых зависимостей в биологических процессах, где важна точная настройка чувствительности прибора.</w:t>
      </w:r>
    </w:p>
    <w:p w:rsidR="00985BFC" w:rsidRPr="00985BFC" w:rsidRDefault="00985BFC" w:rsidP="00985BFC">
      <w:pPr>
        <w:pStyle w:val="a4"/>
        <w:spacing w:before="0" w:beforeAutospacing="0" w:after="0" w:afterAutospacing="0"/>
        <w:jc w:val="both"/>
      </w:pPr>
      <w:r w:rsidRPr="00985BFC">
        <w:t xml:space="preserve">Однако главная идея — не механическое применение формул, а работа по алгоритму: сбор данных, предварительная обработка, выбор модели, её проверка и интерпретация результатов. Студентам важно уметь определить период, амплитуду и сдвиг фазы для каждого сигнала, чтобы затем сопоставлять их с клиническими нормами. Такой подход требует не деклараций о «влиянии» чего-либо, а конкретных вычислений: какие частоты доминируют в сигнале, как </w:t>
      </w:r>
      <w:r w:rsidRPr="00985BFC">
        <w:lastRenderedPageBreak/>
        <w:t>меняется фаза при переходе между состояниями организма, где наступает переход от физиологической модуляции к патологическому процессу.</w:t>
      </w:r>
    </w:p>
    <w:p w:rsidR="00985BFC" w:rsidRPr="00985BFC" w:rsidRDefault="00985BFC" w:rsidP="00985BFC">
      <w:pPr>
        <w:pStyle w:val="a4"/>
        <w:spacing w:before="0" w:beforeAutospacing="0" w:after="0" w:afterAutospacing="0"/>
        <w:jc w:val="both"/>
      </w:pPr>
      <w:r w:rsidRPr="00985BFC">
        <w:t>Не менее значимо формирование критического мышления: тригонометрические функции дают возможность увидеть в данных повторяющиеся закономерности и тенденции, которые за внешней рутиной клинических измерений остаются незамеченными. Это умение — анализировать данные как язык природы, переводя биологическую реальность в точные математические описания. В итоге цель образования — не просто знание формул, а способность выстроить надёжный алгоритм диагностики: от регистрации данных до доказуемого вывода о патологии. В этом контексте тригонометрия становится не абстракцией, а инструментом, который помогает будущим врачам видеть боль за цифрами и превращать данные в помощь человеку.</w:t>
      </w:r>
    </w:p>
    <w:p w:rsidR="00C678BE" w:rsidRDefault="00A90361" w:rsidP="00985BFC">
      <w:pPr>
        <w:rPr>
          <w:rFonts w:cs="Times New Roman"/>
          <w:szCs w:val="24"/>
        </w:rPr>
      </w:pPr>
    </w:p>
    <w:p w:rsidR="00985BFC" w:rsidRPr="00452420" w:rsidRDefault="00452420" w:rsidP="00452420">
      <w:pPr>
        <w:jc w:val="center"/>
        <w:rPr>
          <w:rFonts w:cs="Times New Roman"/>
          <w:b/>
          <w:szCs w:val="24"/>
        </w:rPr>
      </w:pPr>
      <w:r w:rsidRPr="00452420">
        <w:rPr>
          <w:rFonts w:cs="Times New Roman"/>
          <w:b/>
          <w:szCs w:val="24"/>
        </w:rPr>
        <w:t>Список литературы</w:t>
      </w:r>
      <w:bookmarkStart w:id="0" w:name="_GoBack"/>
      <w:bookmarkEnd w:id="0"/>
    </w:p>
    <w:p w:rsidR="00452420" w:rsidRDefault="00452420" w:rsidP="00985BFC">
      <w:pPr>
        <w:rPr>
          <w:rFonts w:cs="Times New Roman"/>
          <w:szCs w:val="24"/>
        </w:rPr>
      </w:pPr>
    </w:p>
    <w:p w:rsidR="00452420" w:rsidRPr="00452420" w:rsidRDefault="00452420" w:rsidP="00452420">
      <w:pPr>
        <w:pStyle w:val="a5"/>
        <w:numPr>
          <w:ilvl w:val="0"/>
          <w:numId w:val="4"/>
        </w:numPr>
      </w:pPr>
      <w:r w:rsidRPr="00452420">
        <w:t xml:space="preserve">Беспалов, А. Г., Краснов, В. Н. </w:t>
      </w:r>
      <w:proofErr w:type="spellStart"/>
      <w:r w:rsidRPr="00452420">
        <w:t>Биостатистика</w:t>
      </w:r>
      <w:proofErr w:type="spellEnd"/>
      <w:r w:rsidRPr="00452420">
        <w:t>: принципы и приложения. М.: ГЭОТАР-Медиа, 2019.</w:t>
      </w:r>
    </w:p>
    <w:p w:rsidR="00452420" w:rsidRPr="00452420" w:rsidRDefault="00452420" w:rsidP="00452420">
      <w:pPr>
        <w:pStyle w:val="a5"/>
        <w:numPr>
          <w:ilvl w:val="0"/>
          <w:numId w:val="4"/>
        </w:numPr>
      </w:pPr>
      <w:r w:rsidRPr="00452420">
        <w:t xml:space="preserve">Фурман, И. Н., Смирнова, Е. В. Введение в </w:t>
      </w:r>
      <w:proofErr w:type="spellStart"/>
      <w:r w:rsidRPr="00452420">
        <w:t>биоинформатику</w:t>
      </w:r>
      <w:proofErr w:type="spellEnd"/>
      <w:r w:rsidRPr="00452420">
        <w:t xml:space="preserve">: анализ сигналов и паттернов. </w:t>
      </w:r>
      <w:proofErr w:type="gramStart"/>
      <w:r w:rsidRPr="00452420">
        <w:t>СПб.:</w:t>
      </w:r>
      <w:proofErr w:type="gramEnd"/>
      <w:r w:rsidRPr="00452420">
        <w:t xml:space="preserve"> Питер, 2020.</w:t>
      </w:r>
    </w:p>
    <w:p w:rsidR="00452420" w:rsidRPr="00452420" w:rsidRDefault="00452420" w:rsidP="00452420">
      <w:pPr>
        <w:pStyle w:val="a5"/>
        <w:numPr>
          <w:ilvl w:val="0"/>
          <w:numId w:val="4"/>
        </w:numPr>
      </w:pPr>
      <w:r w:rsidRPr="00452420">
        <w:t>Гладков, Е. М., Романов, А. Н. Методы обработки биомедицинских сигналов. М.: Медицинская литература, 2018.</w:t>
      </w:r>
    </w:p>
    <w:p w:rsidR="00452420" w:rsidRPr="00985BFC" w:rsidRDefault="00452420" w:rsidP="00985BFC">
      <w:pPr>
        <w:rPr>
          <w:rFonts w:cs="Times New Roman"/>
          <w:szCs w:val="24"/>
        </w:rPr>
      </w:pPr>
    </w:p>
    <w:sectPr w:rsidR="00452420" w:rsidRPr="00985BFC" w:rsidSect="00985B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74D6"/>
    <w:multiLevelType w:val="multilevel"/>
    <w:tmpl w:val="27D2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37FFD"/>
    <w:multiLevelType w:val="multilevel"/>
    <w:tmpl w:val="C87C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179CE"/>
    <w:multiLevelType w:val="multilevel"/>
    <w:tmpl w:val="3258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B76A5"/>
    <w:multiLevelType w:val="hybridMultilevel"/>
    <w:tmpl w:val="E276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FC"/>
    <w:rsid w:val="00261DEB"/>
    <w:rsid w:val="00452420"/>
    <w:rsid w:val="004E49D7"/>
    <w:rsid w:val="006D22AA"/>
    <w:rsid w:val="00985BFC"/>
    <w:rsid w:val="00A90361"/>
    <w:rsid w:val="00AE4CDA"/>
    <w:rsid w:val="00B234DD"/>
    <w:rsid w:val="00D5684D"/>
    <w:rsid w:val="00D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9102B-0D48-4290-A05B-40DDC92D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color w:val="2F5496" w:themeColor="accent5" w:themeShade="BF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84D"/>
    <w:pPr>
      <w:spacing w:after="0" w:line="240" w:lineRule="auto"/>
      <w:jc w:val="both"/>
    </w:pPr>
    <w:rPr>
      <w:rFonts w:cstheme="minorBidi"/>
      <w:b w:val="0"/>
      <w:color w:val="auto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D5684D"/>
    <w:pPr>
      <w:keepNext/>
      <w:keepLines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autoRedefine/>
    <w:uiPriority w:val="9"/>
    <w:qFormat/>
    <w:rsid w:val="00D5684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261DEB"/>
  </w:style>
  <w:style w:type="character" w:customStyle="1" w:styleId="12">
    <w:name w:val="Стиль1 Знак"/>
    <w:basedOn w:val="a0"/>
    <w:link w:val="11"/>
    <w:rsid w:val="00261DEB"/>
    <w:rPr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D5684D"/>
    <w:rPr>
      <w:rFonts w:eastAsiaTheme="majorEastAsia" w:cstheme="majorBidi"/>
      <w:color w:val="auto"/>
    </w:rPr>
  </w:style>
  <w:style w:type="character" w:styleId="a3">
    <w:name w:val="Emphasis"/>
    <w:basedOn w:val="a0"/>
    <w:uiPriority w:val="20"/>
    <w:qFormat/>
    <w:rsid w:val="004E49D7"/>
    <w:rPr>
      <w:rFonts w:ascii="Times New Roman" w:hAnsi="Times New Roman"/>
      <w:b/>
      <w:i/>
      <w:iCs/>
      <w:color w:val="auto"/>
      <w:sz w:val="24"/>
    </w:rPr>
  </w:style>
  <w:style w:type="character" w:customStyle="1" w:styleId="20">
    <w:name w:val="Заголовок 2 Знак"/>
    <w:basedOn w:val="a0"/>
    <w:link w:val="2"/>
    <w:uiPriority w:val="9"/>
    <w:rsid w:val="00D5684D"/>
    <w:rPr>
      <w:rFonts w:eastAsia="Times New Roman"/>
      <w:bCs/>
      <w:color w:val="auto"/>
      <w:sz w:val="28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85BF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45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3</cp:revision>
  <dcterms:created xsi:type="dcterms:W3CDTF">2026-03-23T08:48:00Z</dcterms:created>
  <dcterms:modified xsi:type="dcterms:W3CDTF">2026-03-23T08:57:00Z</dcterms:modified>
</cp:coreProperties>
</file>