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8" w:rsidRPr="004B7438" w:rsidRDefault="004B7438" w:rsidP="004B74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</w:t>
      </w:r>
      <w:r w:rsidR="0007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№261</w:t>
      </w:r>
      <w:r w:rsidRPr="004B7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7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gramStart"/>
      <w:r w:rsidR="0007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076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амара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B74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Современные образовательные технологии в ДОУ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0760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092" w:rsidRDefault="00076092" w:rsidP="000760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Мазурова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</w:t>
      </w: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76092" w:rsidRDefault="00076092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</w:t>
      </w: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овременные образовательные технологии в ДОУ</w:t>
      </w:r>
    </w:p>
    <w:p w:rsidR="004B7438" w:rsidRPr="003828C3" w:rsidRDefault="004B7438" w:rsidP="004B7438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B7438" w:rsidRPr="00F00485" w:rsidRDefault="004B7438" w:rsidP="004B74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Педагогическая технология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Сегодня насчитывается больше сотни  образовательных технологий. </w:t>
      </w:r>
    </w:p>
    <w:p w:rsidR="004B7438" w:rsidRPr="00F00485" w:rsidRDefault="004B7438" w:rsidP="004B7438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технология 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дошкольника и воспитателя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игровая технология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технология «ТРИЗ» 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технологии предметно – развивающей среды</w:t>
      </w:r>
    </w:p>
    <w:p w:rsidR="004B7438" w:rsidRPr="00F00485" w:rsidRDefault="004B7438" w:rsidP="004B7438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 технологии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Целью 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F0048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педагогических технологий зависит: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от типа дошкольного учреждения,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от продолжительности пребывания в нем детей,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от программы, по которой работают педагоги,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конкретных условий ДОУ,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 профессиональной компетентности педагога,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lang w:eastAsia="ru-RU"/>
        </w:rPr>
        <w:t>показателей здоровья детей.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технологий:</w:t>
      </w:r>
      <w:r w:rsidRPr="00F0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4B7438" w:rsidRPr="00F00485" w:rsidRDefault="004B7438" w:rsidP="004B74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из серии «Здоровье» </w:t>
      </w:r>
    </w:p>
    <w:p w:rsidR="004B7438" w:rsidRDefault="004B7438" w:rsidP="004B74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ехнология коррекции поведения</w:t>
      </w:r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арттерапия</w:t>
      </w:r>
      <w:proofErr w:type="spellEnd"/>
    </w:p>
    <w:p w:rsidR="004B7438" w:rsidRPr="000E4C7C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E4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 музыкального воздействия</w:t>
      </w:r>
    </w:p>
    <w:p w:rsidR="004B7438" w:rsidRPr="00F00485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</w:t>
      </w:r>
    </w:p>
    <w:p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ритмика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массажерами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самодельные.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массажа ступней ног и развития координации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используются коврики из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веревки с узелками.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мимические разминки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точечный массаж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-игры, упражнения для профилактики и коррекции плоскостопия и осанки.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неосложненное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-Систематическое использование физкультминуток приводит к улучшению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М.В.Карепановой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Е.В.Харламповой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7438" w:rsidRDefault="004B7438" w:rsidP="004B7438">
      <w:pPr>
        <w:spacing w:after="0" w:line="270" w:lineRule="atLeast"/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учат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словесные образы. Вспоминают старые и придумывают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умывание холодной водой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251A6F">
        <w:t xml:space="preserve"> </w:t>
      </w:r>
    </w:p>
    <w:p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Стретчинг</w:t>
      </w:r>
      <w:proofErr w:type="spellEnd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251A6F">
        <w:t xml:space="preserve"> </w:t>
      </w:r>
    </w:p>
    <w:p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Ритмопластика</w:t>
      </w:r>
      <w:r w:rsidRPr="002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6F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251A6F">
        <w:t xml:space="preserve"> </w:t>
      </w:r>
    </w:p>
    <w:p w:rsidR="004B7438" w:rsidRDefault="004B7438" w:rsidP="004B7438"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Точечный массаж.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методике.</w:t>
      </w:r>
      <w:r w:rsidRPr="00251A6F">
        <w:rPr>
          <w:rStyle w:val="grame"/>
          <w:rFonts w:ascii="Times New Roman" w:hAnsi="Times New Roman" w:cs="Times New Roman"/>
          <w:sz w:val="28"/>
          <w:szCs w:val="28"/>
        </w:rPr>
        <w:t>Показана</w:t>
      </w:r>
      <w:proofErr w:type="spellEnd"/>
      <w:r w:rsidRPr="00251A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1A6F">
        <w:rPr>
          <w:rFonts w:ascii="Times New Roman" w:hAnsi="Times New Roman" w:cs="Times New Roman"/>
          <w:sz w:val="28"/>
          <w:szCs w:val="28"/>
        </w:rPr>
        <w:t xml:space="preserve">детям с частыми простудными заболеваниями и болезнями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51A6F">
        <w:rPr>
          <w:rFonts w:ascii="Times New Roman" w:hAnsi="Times New Roman" w:cs="Times New Roman"/>
          <w:sz w:val="28"/>
          <w:szCs w:val="28"/>
        </w:rPr>
        <w:t>. Используется наглядный материал. 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Артерапия</w:t>
      </w:r>
      <w:proofErr w:type="spellEnd"/>
      <w:r w:rsidRPr="00AB52D8">
        <w:rPr>
          <w:rFonts w:ascii="Times New Roman" w:hAnsi="Times New Roman" w:cs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t>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AB52D8">
        <w:rPr>
          <w:rFonts w:ascii="Times New Roman" w:hAnsi="Times New Roman" w:cs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Фонетическая ритмика.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8">
        <w:rPr>
          <w:rFonts w:ascii="Times New Roman" w:hAnsi="Times New Roman" w:cs="Times New Roman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Pr="00AB52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AB52D8">
        <w:rPr>
          <w:rFonts w:ascii="Times New Roman" w:hAnsi="Times New Roman" w:cs="Times New Roman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AB52D8">
        <w:t xml:space="preserve"> </w:t>
      </w:r>
    </w:p>
    <w:p w:rsidR="004B7438" w:rsidRPr="00AB52D8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AB52D8">
        <w:rPr>
          <w:rFonts w:ascii="Times New Roman" w:hAnsi="Times New Roman" w:cs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</w:t>
      </w:r>
      <w:r w:rsidRPr="00AB52D8">
        <w:rPr>
          <w:rFonts w:ascii="Times New Roman" w:hAnsi="Times New Roman" w:cs="Times New Roman"/>
          <w:sz w:val="28"/>
          <w:szCs w:val="28"/>
        </w:rPr>
        <w:lastRenderedPageBreak/>
        <w:t>игровой форме, имеют диагностический инструментарий и протоколы занятий. Проводят воспитатели, психолог.</w:t>
      </w:r>
    </w:p>
    <w:p w:rsidR="004B7438" w:rsidRPr="00F00485" w:rsidRDefault="004B7438" w:rsidP="004B7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оздоравливания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создания педагогических условий здоровье сберегающего процесса воспитания и развития детей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 эта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мы, родители, врачи, педагоги, хотим, чтобы наши дети хорошо учились, </w:t>
      </w:r>
      <w:r w:rsidRPr="00F00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Технологии проектной деятельности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«повествовательные»,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«конструктивные»,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Типы проектов:</w:t>
      </w:r>
    </w:p>
    <w:p w:rsidR="004B7438" w:rsidRPr="00F00485" w:rsidRDefault="004B7438" w:rsidP="004B7438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доминирующему методу: 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приключенческие,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практико-ориентированные.</w:t>
      </w:r>
    </w:p>
    <w:p w:rsidR="004B7438" w:rsidRPr="00F00485" w:rsidRDefault="004B7438" w:rsidP="004B7438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содержания: 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включают ребенка и его семью,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природу,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и рукотворный мир,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общество и его культурные ценности.</w:t>
      </w:r>
    </w:p>
    <w:p w:rsidR="004B7438" w:rsidRPr="00F00485" w:rsidRDefault="004B7438" w:rsidP="004B7438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участия ребенка в проекте: 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заказчик,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эксперт,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 от зарождения идеи до получения результата.</w:t>
      </w:r>
    </w:p>
    <w:p w:rsidR="004B7438" w:rsidRPr="00F00485" w:rsidRDefault="004B7438" w:rsidP="004B7438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характеру контактов: 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внутри одной возрастной группы,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другой возрастной группой,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ДОУ,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контакте с семьей,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учреждениями культуры,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общественными организациями (открытый проект).</w:t>
      </w:r>
    </w:p>
    <w:p w:rsidR="004B7438" w:rsidRPr="00F00485" w:rsidRDefault="004B7438" w:rsidP="004B7438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количеству участников: 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парный,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фронтальный.</w:t>
      </w:r>
    </w:p>
    <w:p w:rsidR="004B7438" w:rsidRPr="00F00485" w:rsidRDefault="004B7438" w:rsidP="004B7438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продолжительности: 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краткосрочный,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продолжительности,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долгосрочный.</w:t>
      </w: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Технология исследовательской деятельности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05C9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Цель исследовательской деятельности в детском саду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23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отметить, что применение проектных и исследовательских  технологий не может существовать без использования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ТРИЗ-технологии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 и приемы организации экспериментально – исследовательской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деятельности: 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эвристические беседы;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постановка и решение вопросов проблемного характера;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наблюдения;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моделирование (создание моделей об изменениях в неживой природе);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опыты;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«погружение» в краски, звуки, запахи и образы природы;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подражание голосам и звукам природы;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использование художественного слова;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дидактические игры, игровые обучающие и творчески развивающие 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трудовые поручения, действия.</w:t>
      </w:r>
    </w:p>
    <w:p w:rsidR="004B7438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4B7438" w:rsidRPr="00F00485" w:rsidRDefault="004B7438" w:rsidP="004B7438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Опыты (экспериментирование)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и превращение вещества.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  воздуха, воды.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Свойства почвы и минералов.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жизни растений.</w:t>
      </w:r>
    </w:p>
    <w:p w:rsidR="004B7438" w:rsidRPr="00F00485" w:rsidRDefault="004B7438" w:rsidP="004B7438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Коллекционирование (классификационная работа)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растений.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животных.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строительных сооружений.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транспорта.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профессий.</w:t>
      </w:r>
    </w:p>
    <w:p w:rsidR="004B7438" w:rsidRPr="00F00485" w:rsidRDefault="004B7438" w:rsidP="004B7438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Путешествие по карте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света.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Рельефы местности.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Природные    ландшафты и их обитатели.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света, их природные и культурные «метки» - символы.</w:t>
      </w:r>
    </w:p>
    <w:p w:rsidR="004B7438" w:rsidRPr="00F00485" w:rsidRDefault="004B7438" w:rsidP="004B7438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по «реке времени»</w:t>
      </w:r>
    </w:p>
    <w:p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История    жилища и благоустройства.</w:t>
      </w:r>
    </w:p>
    <w:p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Информационно-коммуникационные технологии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Информатизация общества ставит перед педагогами-дошкольниками 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в ногу со временем,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для ребенка проводником  в мир новых технологий,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наставником в выборе  компьютерных программ,  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основы информационной культуры его личности,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4B7438" w:rsidRPr="00F00485" w:rsidRDefault="004B7438" w:rsidP="004B7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программ: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воображения, мышления, памяти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Говорящие словари иностранных языков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Простейшие графические редакторы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Игры-путешествия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чтению, математике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презентаций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 компьютера: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обладает стимулом познавательной активности детей;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Ошибки при использовании информационно-коммуникационных технологий: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методическая подготовленность педагога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определение дидактической роли и места ИКТ на занятиях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Бесплановость, случайность применения ИКТ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Перегруженность занятия демонстрацией.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ИКТ в работе современного педагога: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Создание презентаций в программе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Рower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Рoint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B7438" w:rsidRPr="00ED2C91" w:rsidRDefault="004B7438" w:rsidP="004B743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7438" w:rsidRDefault="004B7438" w:rsidP="004B7438">
      <w:pPr>
        <w:pStyle w:val="a4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 w:rsidRPr="00ED2C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Личностно - ориентированная технология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4B7438" w:rsidRPr="00F00485" w:rsidRDefault="004B7438" w:rsidP="004B7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04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гуманно-личностные технологии</w:t>
      </w:r>
      <w:r w:rsidRPr="00F00485">
        <w:rPr>
          <w:rFonts w:ascii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Данную технологию хорошо реализовать в новых дошкольных учреждениях (например: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B7438" w:rsidRPr="00F00485" w:rsidRDefault="004B7438" w:rsidP="004B74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 сотрудничества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технологии на основе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оценка результата - уровень развития дошкольника.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6.Технология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дошкольника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Существует ряд функций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(фиксирует изменения и рост за определенный период времени),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содержательная (раскрывает весь спектр выполняемых работ),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рейтинговая (показывает диапазон умений и навыков ребенка) и др.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Процесс создания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И. Руденко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«Давайте познакомимся».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«Я расту!».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«Портрет моего ребенка».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сочинения родителей о своем малыше.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«Я мечтаю...».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«Вот что я могу».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6 «Мои достижения».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7 «Посоветуйте мне...».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Раздел 8 «Спрашивайте, родители!». 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родители формулируют свои вопросы к специалистам ДОУ.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Л. Орлова предлагает такой вариант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, содержание которого в первую очередь будет интересно родителям</w:t>
      </w:r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заполнять как в детском саду, так и дома и можно 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представлять как мини-презентацию на дне рождения ребенка. Автором предлагается следующая структура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изображение ладошки ребенка на момент начала ведения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изображение ладошки на момент окончания ведения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«Познакомьтесь со мной»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2 «Я расту»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3 «Моя семья».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 «Чем могу — помогу»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 «Мир вокруг нас».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 6 «Вдохновение зимы (весны, лета, осени)».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«Информация родителей»,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«Информация педагогов»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3 «Информация ребенка о себе»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Л. И.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Адаменко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предлагает следующую структуру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хороший»,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блок «Какой ребенок умелый»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блок «Какой ребенок успешный»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B7438" w:rsidRPr="001E487E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4B7438" w:rsidRPr="001E487E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Технология «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педагога»</w:t>
      </w:r>
    </w:p>
    <w:p w:rsidR="004B7438" w:rsidRPr="001E487E" w:rsidRDefault="004B7438" w:rsidP="004B7438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 современными технологиями образования,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Для создания комплексного </w:t>
      </w:r>
      <w:proofErr w:type="spellStart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целесообразно ввести следующие разделы: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1 «Общие сведения о педагоге»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копии документов, подтверждающих наличие ученых и почетных званий и степеней;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дипломы различных конкурсов;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документы по усмотрению педагога.</w:t>
      </w:r>
    </w:p>
    <w:p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2 «Результаты педагогической деятельности»</w:t>
      </w:r>
      <w:r w:rsidRPr="001E48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с результатами освоения детьми реализуемой программы;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результатов обучения воспитанников в первом классе и др.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3 «Научно-методическая деятельность»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неделях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проведении семинаров, «круглых столов», мастер-классов;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авторские программы, методические разработки;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отчеты, рефераты, доклады, статьи и другие документы.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4 «Предметно-развивающая среда»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планы по организации предметно-развивающей среды;</w:t>
      </w:r>
    </w:p>
    <w:p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эскизы, фотографии и т. д.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Раздел 5 «Работа с родителями»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Содержит информацию о работе с родителями воспитанников (планы работы; сценарии мероприятий и др.).</w:t>
      </w:r>
    </w:p>
    <w:p w:rsidR="004B7438" w:rsidRPr="001E487E" w:rsidRDefault="004B7438" w:rsidP="004B74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7438" w:rsidRPr="00F62A39" w:rsidRDefault="004B7438" w:rsidP="004B743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Игровая технология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B7438" w:rsidRPr="00F62A39" w:rsidRDefault="004B7438" w:rsidP="004B7438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B7438" w:rsidRPr="00F62A39" w:rsidRDefault="004B7438" w:rsidP="004B7438">
      <w:pPr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Calibri" w:eastAsia="Times New Roman" w:hAnsi="Calibri" w:cs="Calibri"/>
          <w:color w:val="000000"/>
          <w:sz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Технология «ТРИЗ»</w:t>
      </w:r>
    </w:p>
    <w:p w:rsidR="00A71968" w:rsidRPr="00A71968" w:rsidRDefault="004B743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A71968">
        <w:rPr>
          <w:bCs/>
          <w:sz w:val="28"/>
        </w:rPr>
        <w:t>Технология решения изобретательских задач</w:t>
      </w:r>
      <w:r w:rsidR="00A71968" w:rsidRPr="00A71968">
        <w:rPr>
          <w:rFonts w:ascii="Arial" w:hAnsi="Arial" w:cs="Arial"/>
          <w:sz w:val="18"/>
          <w:szCs w:val="18"/>
        </w:rPr>
        <w:t> </w:t>
      </w:r>
    </w:p>
    <w:p w:rsidR="00A71968" w:rsidRPr="00A71968" w:rsidRDefault="00A7196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A71968">
        <w:rPr>
          <w:b/>
          <w:sz w:val="28"/>
          <w:szCs w:val="28"/>
        </w:rPr>
        <w:t>Главная цель</w:t>
      </w:r>
      <w:r w:rsidRPr="00A71968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A71968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:rsidR="004B7438" w:rsidRPr="00A7196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ТРИЗ-технология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B7438" w:rsidRPr="00A71968" w:rsidRDefault="004B7438" w:rsidP="004B7438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B7438" w:rsidRPr="00A71968" w:rsidRDefault="004B7438" w:rsidP="004B7438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ТРИЗ-технологию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свойств  предмета или явления в целом.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B7438" w:rsidRPr="00740228" w:rsidRDefault="004B7438" w:rsidP="004B7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228">
        <w:rPr>
          <w:rFonts w:ascii="Times New Roman" w:eastAsia="Calibri" w:hAnsi="Times New Roman" w:cs="Times New Roman"/>
          <w:b/>
          <w:sz w:val="28"/>
          <w:szCs w:val="28"/>
        </w:rPr>
        <w:t>10. Технология интегрированного обучения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использованием 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cs="Times New Roman"/>
          <w:b/>
          <w:i/>
          <w:sz w:val="28"/>
          <w:szCs w:val="28"/>
        </w:rPr>
        <w:t>Примерная структура: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>, что произойдёт, если на планете не будет воды?);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основная часть</w:t>
      </w:r>
      <w:r w:rsidRPr="00740228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заключительная часть</w:t>
      </w:r>
      <w:r w:rsidRPr="00740228">
        <w:rPr>
          <w:rFonts w:ascii="Times New Roman" w:hAnsi="Times New Roman" w:cs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4B7438" w:rsidRPr="00740228" w:rsidRDefault="004B7438" w:rsidP="004B743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eastAsia="Calibri" w:hAnsi="Times New Roman" w:cs="Times New Roman"/>
          <w:b/>
          <w:i/>
          <w:sz w:val="28"/>
          <w:szCs w:val="28"/>
        </w:rPr>
        <w:t>Методика подготовки и проведение: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выбор областей</w:t>
      </w:r>
      <w:r w:rsidRPr="00740228">
        <w:rPr>
          <w:rFonts w:ascii="Times New Roman" w:hAnsi="Times New Roman" w:cs="Times New Roman"/>
          <w:sz w:val="28"/>
          <w:szCs w:val="28"/>
        </w:rPr>
        <w:tab/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-использование большего количества атрибутов и наглядного материала;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11.Технологии создания предметно-развивающей среды</w:t>
      </w:r>
    </w:p>
    <w:p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7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A71968">
        <w:rPr>
          <w:color w:val="000000"/>
          <w:sz w:val="28"/>
          <w:szCs w:val="28"/>
        </w:rPr>
        <w:t>социокультурную</w:t>
      </w:r>
      <w:proofErr w:type="spellEnd"/>
      <w:r w:rsidRPr="00A71968">
        <w:rPr>
          <w:color w:val="000000"/>
          <w:sz w:val="28"/>
          <w:szCs w:val="28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A71968">
        <w:rPr>
          <w:color w:val="000000"/>
          <w:sz w:val="28"/>
          <w:szCs w:val="28"/>
        </w:rPr>
        <w:t>взаимообучения</w:t>
      </w:r>
      <w:proofErr w:type="spellEnd"/>
      <w:r w:rsidRPr="00A71968">
        <w:rPr>
          <w:color w:val="000000"/>
          <w:sz w:val="28"/>
          <w:szCs w:val="28"/>
        </w:rPr>
        <w:t xml:space="preserve"> детей.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Заключение:</w:t>
      </w: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55FD6" w:rsidRDefault="004B743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A71968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Всем творческих успехов!!!</w:t>
      </w:r>
    </w:p>
    <w:sectPr w:rsidR="00A71968" w:rsidRPr="00A71968" w:rsidSect="00A719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686"/>
    <w:rsid w:val="0000427E"/>
    <w:rsid w:val="00076092"/>
    <w:rsid w:val="00255FD6"/>
    <w:rsid w:val="003F7075"/>
    <w:rsid w:val="00473686"/>
    <w:rsid w:val="004B7438"/>
    <w:rsid w:val="0094178B"/>
    <w:rsid w:val="00A339DE"/>
    <w:rsid w:val="00A71968"/>
    <w:rsid w:val="00E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8"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F3BF-2CD2-49C3-BB29-C92939AE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2020-11-13T17:15:00Z</dcterms:created>
  <dcterms:modified xsi:type="dcterms:W3CDTF">2020-11-13T17:15:00Z</dcterms:modified>
</cp:coreProperties>
</file>